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01" w:rsidRDefault="00144A2B" w:rsidP="00933901">
      <w:pPr>
        <w:spacing w:line="240" w:lineRule="auto"/>
        <w:rPr>
          <w:rFonts w:ascii="Times New Roman" w:hAnsi="Times New Roman" w:cs="Times New Roman"/>
          <w:b/>
          <w:sz w:val="24"/>
          <w:szCs w:val="24"/>
        </w:rPr>
      </w:pPr>
      <w:r>
        <w:rPr>
          <w:rFonts w:ascii="Times New Roman" w:hAnsi="Times New Roman" w:cs="Times New Roman"/>
          <w:b/>
          <w:sz w:val="24"/>
          <w:szCs w:val="24"/>
        </w:rPr>
        <w:t>SVEUČILIŠTE U SPLITU, MEDICINSKI FAKULTET</w:t>
      </w:r>
    </w:p>
    <w:p w:rsidR="00933901" w:rsidRDefault="00933901" w:rsidP="00933901">
      <w:pPr>
        <w:spacing w:line="240" w:lineRule="auto"/>
        <w:rPr>
          <w:rFonts w:ascii="Times New Roman" w:hAnsi="Times New Roman" w:cs="Times New Roman"/>
          <w:b/>
          <w:sz w:val="24"/>
          <w:szCs w:val="24"/>
        </w:rPr>
      </w:pPr>
      <w:r>
        <w:rPr>
          <w:rFonts w:ascii="Times New Roman" w:hAnsi="Times New Roman" w:cs="Times New Roman"/>
          <w:b/>
          <w:sz w:val="24"/>
          <w:szCs w:val="24"/>
        </w:rPr>
        <w:t>Šoltanska 2</w:t>
      </w:r>
      <w:r w:rsidR="00470700">
        <w:rPr>
          <w:rFonts w:ascii="Times New Roman" w:hAnsi="Times New Roman" w:cs="Times New Roman"/>
          <w:b/>
          <w:sz w:val="24"/>
          <w:szCs w:val="24"/>
        </w:rPr>
        <w:t>a</w:t>
      </w:r>
      <w:r>
        <w:rPr>
          <w:rFonts w:ascii="Times New Roman" w:hAnsi="Times New Roman" w:cs="Times New Roman"/>
          <w:b/>
          <w:sz w:val="24"/>
          <w:szCs w:val="24"/>
        </w:rPr>
        <w:t>, 21000 Split</w:t>
      </w:r>
    </w:p>
    <w:p w:rsidR="00933901" w:rsidRDefault="00933901" w:rsidP="00933901">
      <w:pPr>
        <w:spacing w:line="240" w:lineRule="auto"/>
        <w:rPr>
          <w:rFonts w:ascii="Times New Roman" w:hAnsi="Times New Roman" w:cs="Times New Roman"/>
          <w:b/>
          <w:sz w:val="24"/>
          <w:szCs w:val="24"/>
        </w:rPr>
      </w:pPr>
      <w:r>
        <w:rPr>
          <w:rFonts w:ascii="Times New Roman" w:hAnsi="Times New Roman" w:cs="Times New Roman"/>
          <w:b/>
          <w:sz w:val="24"/>
          <w:szCs w:val="24"/>
        </w:rPr>
        <w:t>OIB: 02879747067</w:t>
      </w:r>
    </w:p>
    <w:p w:rsidR="00933901" w:rsidRDefault="00933901" w:rsidP="00933901">
      <w:pPr>
        <w:spacing w:line="240" w:lineRule="auto"/>
        <w:rPr>
          <w:rFonts w:ascii="Times New Roman" w:hAnsi="Times New Roman" w:cs="Times New Roman"/>
          <w:b/>
          <w:sz w:val="24"/>
          <w:szCs w:val="24"/>
        </w:rPr>
      </w:pPr>
      <w:r>
        <w:rPr>
          <w:rFonts w:ascii="Times New Roman" w:hAnsi="Times New Roman" w:cs="Times New Roman"/>
          <w:b/>
          <w:sz w:val="24"/>
          <w:szCs w:val="24"/>
        </w:rPr>
        <w:t>RKP: 22451</w:t>
      </w:r>
    </w:p>
    <w:p w:rsidR="00A7057D" w:rsidRPr="00A7057D" w:rsidRDefault="00A7057D" w:rsidP="00362A71">
      <w:pPr>
        <w:spacing w:after="0" w:line="240" w:lineRule="auto"/>
        <w:rPr>
          <w:rFonts w:ascii="Times New Roman" w:hAnsi="Times New Roman" w:cs="Times New Roman"/>
          <w:b/>
          <w:sz w:val="24"/>
          <w:szCs w:val="24"/>
        </w:rPr>
      </w:pPr>
      <w:r w:rsidRPr="00A7057D">
        <w:rPr>
          <w:rFonts w:ascii="Times New Roman" w:hAnsi="Times New Roman" w:cs="Times New Roman"/>
          <w:b/>
          <w:sz w:val="24"/>
          <w:szCs w:val="24"/>
        </w:rPr>
        <w:t>Klasa: 400-02/24-02/0001</w:t>
      </w:r>
    </w:p>
    <w:p w:rsidR="00A7057D" w:rsidRPr="00A7057D" w:rsidRDefault="00A7057D" w:rsidP="00362A71">
      <w:pPr>
        <w:spacing w:after="0" w:line="240" w:lineRule="auto"/>
        <w:ind w:right="4749"/>
        <w:rPr>
          <w:rFonts w:ascii="Times New Roman" w:hAnsi="Times New Roman" w:cs="Times New Roman"/>
          <w:b/>
          <w:sz w:val="24"/>
          <w:szCs w:val="24"/>
        </w:rPr>
      </w:pPr>
      <w:proofErr w:type="spellStart"/>
      <w:r w:rsidRPr="00A7057D">
        <w:rPr>
          <w:rFonts w:ascii="Times New Roman" w:hAnsi="Times New Roman" w:cs="Times New Roman"/>
          <w:b/>
          <w:sz w:val="24"/>
          <w:szCs w:val="24"/>
        </w:rPr>
        <w:t>Ur</w:t>
      </w:r>
      <w:proofErr w:type="spellEnd"/>
      <w:r w:rsidRPr="00A7057D">
        <w:rPr>
          <w:rFonts w:ascii="Times New Roman" w:hAnsi="Times New Roman" w:cs="Times New Roman"/>
          <w:b/>
          <w:sz w:val="24"/>
          <w:szCs w:val="24"/>
        </w:rPr>
        <w:t>. broj: 2181-198-04-07-24-0001</w:t>
      </w:r>
    </w:p>
    <w:p w:rsidR="00A7057D" w:rsidRDefault="00A7057D" w:rsidP="00362A71">
      <w:pPr>
        <w:spacing w:after="0" w:line="240" w:lineRule="auto"/>
        <w:rPr>
          <w:rFonts w:ascii="Times New Roman" w:hAnsi="Times New Roman" w:cs="Times New Roman"/>
          <w:b/>
          <w:sz w:val="24"/>
          <w:szCs w:val="24"/>
        </w:rPr>
      </w:pPr>
    </w:p>
    <w:p w:rsidR="00362A71" w:rsidRDefault="00362A71" w:rsidP="00362A71">
      <w:pPr>
        <w:spacing w:after="0" w:line="240" w:lineRule="auto"/>
        <w:rPr>
          <w:rFonts w:ascii="Times New Roman" w:hAnsi="Times New Roman" w:cs="Times New Roman"/>
          <w:b/>
          <w:sz w:val="24"/>
          <w:szCs w:val="24"/>
        </w:rPr>
      </w:pPr>
    </w:p>
    <w:p w:rsidR="00933901" w:rsidRDefault="00BD6DFD" w:rsidP="00BD6DF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U Splitu, </w:t>
      </w:r>
      <w:r w:rsidR="00AE6400">
        <w:rPr>
          <w:rFonts w:ascii="Times New Roman" w:hAnsi="Times New Roman" w:cs="Times New Roman"/>
          <w:b/>
          <w:sz w:val="24"/>
          <w:szCs w:val="24"/>
        </w:rPr>
        <w:t>2</w:t>
      </w:r>
      <w:r w:rsidR="004F64F9">
        <w:rPr>
          <w:rFonts w:ascii="Times New Roman" w:hAnsi="Times New Roman" w:cs="Times New Roman"/>
          <w:b/>
          <w:sz w:val="24"/>
          <w:szCs w:val="24"/>
        </w:rPr>
        <w:t>0</w:t>
      </w:r>
      <w:r w:rsidR="00AE6400">
        <w:rPr>
          <w:rFonts w:ascii="Times New Roman" w:hAnsi="Times New Roman" w:cs="Times New Roman"/>
          <w:b/>
          <w:sz w:val="24"/>
          <w:szCs w:val="24"/>
        </w:rPr>
        <w:t>.0</w:t>
      </w:r>
      <w:r w:rsidR="004F64F9">
        <w:rPr>
          <w:rFonts w:ascii="Times New Roman" w:hAnsi="Times New Roman" w:cs="Times New Roman"/>
          <w:b/>
          <w:sz w:val="24"/>
          <w:szCs w:val="24"/>
        </w:rPr>
        <w:t>3</w:t>
      </w:r>
      <w:r w:rsidR="00AE6400">
        <w:rPr>
          <w:rFonts w:ascii="Times New Roman" w:hAnsi="Times New Roman" w:cs="Times New Roman"/>
          <w:b/>
          <w:sz w:val="24"/>
          <w:szCs w:val="24"/>
        </w:rPr>
        <w:t>.202</w:t>
      </w:r>
      <w:r w:rsidR="004F64F9">
        <w:rPr>
          <w:rFonts w:ascii="Times New Roman" w:hAnsi="Times New Roman" w:cs="Times New Roman"/>
          <w:b/>
          <w:sz w:val="24"/>
          <w:szCs w:val="24"/>
        </w:rPr>
        <w:t>4</w:t>
      </w:r>
      <w:r w:rsidR="00AE6400">
        <w:rPr>
          <w:rFonts w:ascii="Times New Roman" w:hAnsi="Times New Roman" w:cs="Times New Roman"/>
          <w:b/>
          <w:sz w:val="24"/>
          <w:szCs w:val="24"/>
        </w:rPr>
        <w:t>.</w:t>
      </w:r>
    </w:p>
    <w:p w:rsidR="00933901" w:rsidRDefault="00933901" w:rsidP="00624C16">
      <w:pPr>
        <w:spacing w:line="240" w:lineRule="auto"/>
        <w:jc w:val="center"/>
        <w:rPr>
          <w:rFonts w:ascii="Times New Roman" w:hAnsi="Times New Roman" w:cs="Times New Roman"/>
          <w:b/>
          <w:sz w:val="24"/>
          <w:szCs w:val="24"/>
        </w:rPr>
      </w:pPr>
    </w:p>
    <w:p w:rsidR="00CA12E2" w:rsidRDefault="00F471E7" w:rsidP="00624C16">
      <w:pPr>
        <w:spacing w:line="240" w:lineRule="auto"/>
        <w:jc w:val="center"/>
        <w:rPr>
          <w:rFonts w:ascii="Times New Roman" w:hAnsi="Times New Roman" w:cs="Times New Roman"/>
          <w:b/>
          <w:sz w:val="24"/>
          <w:szCs w:val="24"/>
        </w:rPr>
      </w:pPr>
      <w:r w:rsidRPr="00624C16">
        <w:rPr>
          <w:rFonts w:ascii="Times New Roman" w:hAnsi="Times New Roman" w:cs="Times New Roman"/>
          <w:b/>
          <w:sz w:val="24"/>
          <w:szCs w:val="24"/>
        </w:rPr>
        <w:t xml:space="preserve">OBRAZLOŽENJE OPĆEG DIJELA </w:t>
      </w:r>
      <w:r w:rsidR="00AE6400">
        <w:rPr>
          <w:rFonts w:ascii="Times New Roman" w:hAnsi="Times New Roman" w:cs="Times New Roman"/>
          <w:b/>
          <w:sz w:val="24"/>
          <w:szCs w:val="24"/>
        </w:rPr>
        <w:t xml:space="preserve">IZVJEŠTAJA O IZVRŠENJU </w:t>
      </w:r>
      <w:r w:rsidRPr="00624C16">
        <w:rPr>
          <w:rFonts w:ascii="Times New Roman" w:hAnsi="Times New Roman" w:cs="Times New Roman"/>
          <w:b/>
          <w:sz w:val="24"/>
          <w:szCs w:val="24"/>
        </w:rPr>
        <w:t xml:space="preserve">FINANCIJSKOG PLANA </w:t>
      </w:r>
    </w:p>
    <w:p w:rsidR="00B7793B" w:rsidRPr="00624C16" w:rsidRDefault="00B7793B" w:rsidP="00624C16">
      <w:pPr>
        <w:spacing w:line="240" w:lineRule="auto"/>
        <w:jc w:val="center"/>
        <w:rPr>
          <w:rFonts w:ascii="Times New Roman" w:hAnsi="Times New Roman" w:cs="Times New Roman"/>
          <w:b/>
          <w:sz w:val="24"/>
          <w:szCs w:val="24"/>
        </w:rPr>
      </w:pPr>
    </w:p>
    <w:p w:rsidR="00F471E7" w:rsidRDefault="00F471E7" w:rsidP="00624C16">
      <w:pPr>
        <w:spacing w:line="240" w:lineRule="auto"/>
        <w:jc w:val="both"/>
        <w:rPr>
          <w:rFonts w:ascii="Times New Roman" w:hAnsi="Times New Roman" w:cs="Times New Roman"/>
          <w:b/>
          <w:sz w:val="24"/>
          <w:szCs w:val="24"/>
        </w:rPr>
      </w:pPr>
      <w:r w:rsidRPr="005B26B0">
        <w:rPr>
          <w:rFonts w:ascii="Times New Roman" w:hAnsi="Times New Roman" w:cs="Times New Roman"/>
          <w:b/>
          <w:sz w:val="24"/>
          <w:szCs w:val="24"/>
        </w:rPr>
        <w:t>PRIHODI I PRIMICI</w:t>
      </w:r>
    </w:p>
    <w:p w:rsidR="00FA1606" w:rsidRDefault="00FA1606" w:rsidP="00FA160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Obrazloženje </w:t>
      </w:r>
      <w:r w:rsidR="006F1F9B">
        <w:rPr>
          <w:rFonts w:ascii="Times New Roman" w:hAnsi="Times New Roman" w:cs="Times New Roman"/>
          <w:b/>
          <w:sz w:val="24"/>
          <w:szCs w:val="24"/>
        </w:rPr>
        <w:t xml:space="preserve">ostvarenja </w:t>
      </w:r>
      <w:r w:rsidR="00CB596E">
        <w:rPr>
          <w:rFonts w:ascii="Times New Roman" w:hAnsi="Times New Roman" w:cs="Times New Roman"/>
          <w:b/>
          <w:sz w:val="24"/>
          <w:szCs w:val="24"/>
        </w:rPr>
        <w:t>plana prihoda</w:t>
      </w:r>
      <w:r>
        <w:rPr>
          <w:rFonts w:ascii="Times New Roman" w:hAnsi="Times New Roman" w:cs="Times New Roman"/>
          <w:b/>
          <w:sz w:val="24"/>
          <w:szCs w:val="24"/>
        </w:rPr>
        <w:t xml:space="preserve"> u razdoblju 01-</w:t>
      </w:r>
      <w:r w:rsidR="00D63EC9">
        <w:rPr>
          <w:rFonts w:ascii="Times New Roman" w:hAnsi="Times New Roman" w:cs="Times New Roman"/>
          <w:b/>
          <w:sz w:val="24"/>
          <w:szCs w:val="24"/>
        </w:rPr>
        <w:t>12</w:t>
      </w:r>
      <w:r>
        <w:rPr>
          <w:rFonts w:ascii="Times New Roman" w:hAnsi="Times New Roman" w:cs="Times New Roman"/>
          <w:b/>
          <w:sz w:val="24"/>
          <w:szCs w:val="24"/>
        </w:rPr>
        <w:t>/2023.</w:t>
      </w:r>
    </w:p>
    <w:p w:rsidR="006F1F9B" w:rsidRDefault="006F1F9B" w:rsidP="00FD5AEE">
      <w:pPr>
        <w:jc w:val="both"/>
        <w:rPr>
          <w:rFonts w:ascii="Times New Roman" w:hAnsi="Times New Roman" w:cs="Times New Roman"/>
          <w:sz w:val="24"/>
          <w:szCs w:val="24"/>
        </w:rPr>
      </w:pPr>
      <w:r>
        <w:rPr>
          <w:rFonts w:ascii="Times New Roman" w:hAnsi="Times New Roman" w:cs="Times New Roman"/>
          <w:sz w:val="24"/>
          <w:szCs w:val="24"/>
        </w:rPr>
        <w:t>Na početku i na kraju  promatranog razdoblja stanje novčanih sredstava na računima Medicinskog fakulteta u Splitu bilo je kako slijedi:</w:t>
      </w:r>
    </w:p>
    <w:tbl>
      <w:tblPr>
        <w:tblW w:w="5430" w:type="dxa"/>
        <w:tblLook w:val="04A0" w:firstRow="1" w:lastRow="0" w:firstColumn="1" w:lastColumn="0" w:noHBand="0" w:noVBand="1"/>
      </w:tblPr>
      <w:tblGrid>
        <w:gridCol w:w="1380"/>
        <w:gridCol w:w="2025"/>
        <w:gridCol w:w="2025"/>
      </w:tblGrid>
      <w:tr w:rsidR="0003464E" w:rsidRPr="0003464E" w:rsidTr="0003464E">
        <w:trPr>
          <w:trHeight w:val="945"/>
        </w:trPr>
        <w:tc>
          <w:tcPr>
            <w:tcW w:w="13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03464E" w:rsidRPr="0003464E" w:rsidRDefault="0003464E" w:rsidP="0003464E">
            <w:pPr>
              <w:spacing w:after="0" w:line="240" w:lineRule="auto"/>
              <w:rPr>
                <w:rFonts w:ascii="Times New Roman" w:eastAsia="Times New Roman" w:hAnsi="Times New Roman" w:cs="Times New Roman"/>
                <w:color w:val="000000"/>
                <w:sz w:val="24"/>
                <w:szCs w:val="24"/>
                <w:lang w:val="en-GB" w:eastAsia="en-GB"/>
              </w:rPr>
            </w:pPr>
            <w:proofErr w:type="spellStart"/>
            <w:r w:rsidRPr="0003464E">
              <w:rPr>
                <w:rFonts w:ascii="Times New Roman" w:eastAsia="Times New Roman" w:hAnsi="Times New Roman" w:cs="Times New Roman"/>
                <w:color w:val="000000"/>
                <w:sz w:val="24"/>
                <w:szCs w:val="24"/>
                <w:lang w:val="en-GB" w:eastAsia="en-GB"/>
              </w:rPr>
              <w:t>Valuta</w:t>
            </w:r>
            <w:proofErr w:type="spellEnd"/>
          </w:p>
        </w:tc>
        <w:tc>
          <w:tcPr>
            <w:tcW w:w="2025" w:type="dxa"/>
            <w:tcBorders>
              <w:top w:val="single" w:sz="4" w:space="0" w:color="auto"/>
              <w:left w:val="nil"/>
              <w:bottom w:val="single" w:sz="4" w:space="0" w:color="auto"/>
              <w:right w:val="single" w:sz="4" w:space="0" w:color="auto"/>
            </w:tcBorders>
            <w:shd w:val="clear" w:color="000000" w:fill="DDEBF7"/>
            <w:vAlign w:val="bottom"/>
            <w:hideMark/>
          </w:tcPr>
          <w:p w:rsidR="0003464E" w:rsidRPr="0003464E" w:rsidRDefault="0003464E" w:rsidP="0003464E">
            <w:pPr>
              <w:spacing w:after="0" w:line="240" w:lineRule="auto"/>
              <w:rPr>
                <w:rFonts w:ascii="Times New Roman" w:eastAsia="Times New Roman" w:hAnsi="Times New Roman" w:cs="Times New Roman"/>
                <w:color w:val="000000"/>
                <w:sz w:val="24"/>
                <w:szCs w:val="24"/>
                <w:lang w:val="en-GB" w:eastAsia="en-GB"/>
              </w:rPr>
            </w:pPr>
            <w:proofErr w:type="spellStart"/>
            <w:r w:rsidRPr="0003464E">
              <w:rPr>
                <w:rFonts w:ascii="Times New Roman" w:eastAsia="Times New Roman" w:hAnsi="Times New Roman" w:cs="Times New Roman"/>
                <w:color w:val="000000"/>
                <w:sz w:val="24"/>
                <w:szCs w:val="24"/>
                <w:lang w:val="en-GB" w:eastAsia="en-GB"/>
              </w:rPr>
              <w:t>Iznos</w:t>
            </w:r>
            <w:proofErr w:type="spellEnd"/>
            <w:r w:rsidRPr="0003464E">
              <w:rPr>
                <w:rFonts w:ascii="Times New Roman" w:eastAsia="Times New Roman" w:hAnsi="Times New Roman" w:cs="Times New Roman"/>
                <w:color w:val="000000"/>
                <w:sz w:val="24"/>
                <w:szCs w:val="24"/>
                <w:lang w:val="en-GB" w:eastAsia="en-GB"/>
              </w:rPr>
              <w:t xml:space="preserve"> </w:t>
            </w:r>
            <w:proofErr w:type="spellStart"/>
            <w:r w:rsidRPr="0003464E">
              <w:rPr>
                <w:rFonts w:ascii="Times New Roman" w:eastAsia="Times New Roman" w:hAnsi="Times New Roman" w:cs="Times New Roman"/>
                <w:color w:val="000000"/>
                <w:sz w:val="24"/>
                <w:szCs w:val="24"/>
                <w:lang w:val="en-GB" w:eastAsia="en-GB"/>
              </w:rPr>
              <w:t>sredstava</w:t>
            </w:r>
            <w:proofErr w:type="spellEnd"/>
            <w:r w:rsidRPr="0003464E">
              <w:rPr>
                <w:rFonts w:ascii="Times New Roman" w:eastAsia="Times New Roman" w:hAnsi="Times New Roman" w:cs="Times New Roman"/>
                <w:color w:val="000000"/>
                <w:sz w:val="24"/>
                <w:szCs w:val="24"/>
                <w:lang w:val="en-GB" w:eastAsia="en-GB"/>
              </w:rPr>
              <w:t xml:space="preserve"> </w:t>
            </w:r>
            <w:proofErr w:type="spellStart"/>
            <w:r w:rsidRPr="0003464E">
              <w:rPr>
                <w:rFonts w:ascii="Times New Roman" w:eastAsia="Times New Roman" w:hAnsi="Times New Roman" w:cs="Times New Roman"/>
                <w:color w:val="000000"/>
                <w:sz w:val="24"/>
                <w:szCs w:val="24"/>
                <w:lang w:val="en-GB" w:eastAsia="en-GB"/>
              </w:rPr>
              <w:t>na</w:t>
            </w:r>
            <w:proofErr w:type="spellEnd"/>
            <w:r w:rsidRPr="0003464E">
              <w:rPr>
                <w:rFonts w:ascii="Times New Roman" w:eastAsia="Times New Roman" w:hAnsi="Times New Roman" w:cs="Times New Roman"/>
                <w:color w:val="000000"/>
                <w:sz w:val="24"/>
                <w:szCs w:val="24"/>
                <w:lang w:val="en-GB" w:eastAsia="en-GB"/>
              </w:rPr>
              <w:t xml:space="preserve"> dan 01.01.2023.</w:t>
            </w:r>
          </w:p>
        </w:tc>
        <w:tc>
          <w:tcPr>
            <w:tcW w:w="2025" w:type="dxa"/>
            <w:tcBorders>
              <w:top w:val="single" w:sz="4" w:space="0" w:color="auto"/>
              <w:left w:val="nil"/>
              <w:bottom w:val="single" w:sz="4" w:space="0" w:color="auto"/>
              <w:right w:val="single" w:sz="4" w:space="0" w:color="auto"/>
            </w:tcBorders>
            <w:shd w:val="clear" w:color="000000" w:fill="DDEBF7"/>
            <w:vAlign w:val="bottom"/>
            <w:hideMark/>
          </w:tcPr>
          <w:p w:rsidR="0003464E" w:rsidRPr="0003464E" w:rsidRDefault="0003464E" w:rsidP="0003464E">
            <w:pPr>
              <w:spacing w:after="0" w:line="240" w:lineRule="auto"/>
              <w:rPr>
                <w:rFonts w:ascii="Times New Roman" w:eastAsia="Times New Roman" w:hAnsi="Times New Roman" w:cs="Times New Roman"/>
                <w:color w:val="000000"/>
                <w:sz w:val="24"/>
                <w:szCs w:val="24"/>
                <w:lang w:val="en-GB" w:eastAsia="en-GB"/>
              </w:rPr>
            </w:pPr>
            <w:proofErr w:type="spellStart"/>
            <w:r w:rsidRPr="0003464E">
              <w:rPr>
                <w:rFonts w:ascii="Times New Roman" w:eastAsia="Times New Roman" w:hAnsi="Times New Roman" w:cs="Times New Roman"/>
                <w:color w:val="000000"/>
                <w:sz w:val="24"/>
                <w:szCs w:val="24"/>
                <w:lang w:val="en-GB" w:eastAsia="en-GB"/>
              </w:rPr>
              <w:t>Iznos</w:t>
            </w:r>
            <w:proofErr w:type="spellEnd"/>
            <w:r w:rsidRPr="0003464E">
              <w:rPr>
                <w:rFonts w:ascii="Times New Roman" w:eastAsia="Times New Roman" w:hAnsi="Times New Roman" w:cs="Times New Roman"/>
                <w:color w:val="000000"/>
                <w:sz w:val="24"/>
                <w:szCs w:val="24"/>
                <w:lang w:val="en-GB" w:eastAsia="en-GB"/>
              </w:rPr>
              <w:t xml:space="preserve"> </w:t>
            </w:r>
            <w:proofErr w:type="spellStart"/>
            <w:r w:rsidRPr="0003464E">
              <w:rPr>
                <w:rFonts w:ascii="Times New Roman" w:eastAsia="Times New Roman" w:hAnsi="Times New Roman" w:cs="Times New Roman"/>
                <w:color w:val="000000"/>
                <w:sz w:val="24"/>
                <w:szCs w:val="24"/>
                <w:lang w:val="en-GB" w:eastAsia="en-GB"/>
              </w:rPr>
              <w:t>sredstava</w:t>
            </w:r>
            <w:proofErr w:type="spellEnd"/>
            <w:r w:rsidRPr="0003464E">
              <w:rPr>
                <w:rFonts w:ascii="Times New Roman" w:eastAsia="Times New Roman" w:hAnsi="Times New Roman" w:cs="Times New Roman"/>
                <w:color w:val="000000"/>
                <w:sz w:val="24"/>
                <w:szCs w:val="24"/>
                <w:lang w:val="en-GB" w:eastAsia="en-GB"/>
              </w:rPr>
              <w:t xml:space="preserve"> </w:t>
            </w:r>
            <w:proofErr w:type="spellStart"/>
            <w:r w:rsidRPr="0003464E">
              <w:rPr>
                <w:rFonts w:ascii="Times New Roman" w:eastAsia="Times New Roman" w:hAnsi="Times New Roman" w:cs="Times New Roman"/>
                <w:color w:val="000000"/>
                <w:sz w:val="24"/>
                <w:szCs w:val="24"/>
                <w:lang w:val="en-GB" w:eastAsia="en-GB"/>
              </w:rPr>
              <w:t>na</w:t>
            </w:r>
            <w:proofErr w:type="spellEnd"/>
            <w:r w:rsidRPr="0003464E">
              <w:rPr>
                <w:rFonts w:ascii="Times New Roman" w:eastAsia="Times New Roman" w:hAnsi="Times New Roman" w:cs="Times New Roman"/>
                <w:color w:val="000000"/>
                <w:sz w:val="24"/>
                <w:szCs w:val="24"/>
                <w:lang w:val="en-GB" w:eastAsia="en-GB"/>
              </w:rPr>
              <w:t xml:space="preserve"> dan </w:t>
            </w:r>
            <w:r w:rsidR="00BC7550">
              <w:rPr>
                <w:rFonts w:ascii="Times New Roman" w:eastAsia="Times New Roman" w:hAnsi="Times New Roman" w:cs="Times New Roman"/>
                <w:color w:val="000000"/>
                <w:sz w:val="24"/>
                <w:szCs w:val="24"/>
                <w:lang w:val="en-GB" w:eastAsia="en-GB"/>
              </w:rPr>
              <w:t>31.12.2023</w:t>
            </w:r>
            <w:r w:rsidRPr="0003464E">
              <w:rPr>
                <w:rFonts w:ascii="Times New Roman" w:eastAsia="Times New Roman" w:hAnsi="Times New Roman" w:cs="Times New Roman"/>
                <w:color w:val="000000"/>
                <w:sz w:val="24"/>
                <w:szCs w:val="24"/>
                <w:lang w:val="en-GB" w:eastAsia="en-GB"/>
              </w:rPr>
              <w:t>.</w:t>
            </w:r>
          </w:p>
        </w:tc>
      </w:tr>
      <w:tr w:rsidR="0003464E" w:rsidRPr="0003464E" w:rsidTr="0003464E">
        <w:trPr>
          <w:trHeight w:val="315"/>
        </w:trPr>
        <w:tc>
          <w:tcPr>
            <w:tcW w:w="1380" w:type="dxa"/>
            <w:tcBorders>
              <w:top w:val="nil"/>
              <w:left w:val="single" w:sz="4" w:space="0" w:color="auto"/>
              <w:bottom w:val="single" w:sz="4" w:space="0" w:color="auto"/>
              <w:right w:val="single" w:sz="4" w:space="0" w:color="auto"/>
            </w:tcBorders>
            <w:shd w:val="clear" w:color="000000" w:fill="FFF2CC"/>
            <w:noWrap/>
            <w:vAlign w:val="bottom"/>
            <w:hideMark/>
          </w:tcPr>
          <w:p w:rsidR="0003464E" w:rsidRPr="0003464E" w:rsidRDefault="0003464E" w:rsidP="0003464E">
            <w:pPr>
              <w:spacing w:after="0" w:line="240" w:lineRule="auto"/>
              <w:rPr>
                <w:rFonts w:ascii="Times New Roman" w:eastAsia="Times New Roman" w:hAnsi="Times New Roman" w:cs="Times New Roman"/>
                <w:color w:val="000000"/>
                <w:sz w:val="24"/>
                <w:szCs w:val="24"/>
                <w:lang w:val="en-GB" w:eastAsia="en-GB"/>
              </w:rPr>
            </w:pPr>
            <w:r w:rsidRPr="0003464E">
              <w:rPr>
                <w:rFonts w:ascii="Times New Roman" w:eastAsia="Times New Roman" w:hAnsi="Times New Roman" w:cs="Times New Roman"/>
                <w:color w:val="000000"/>
                <w:sz w:val="24"/>
                <w:szCs w:val="24"/>
                <w:lang w:val="en-GB" w:eastAsia="en-GB"/>
              </w:rPr>
              <w:t>EUR</w:t>
            </w:r>
          </w:p>
        </w:tc>
        <w:tc>
          <w:tcPr>
            <w:tcW w:w="2025" w:type="dxa"/>
            <w:tcBorders>
              <w:top w:val="nil"/>
              <w:left w:val="nil"/>
              <w:bottom w:val="single" w:sz="4" w:space="0" w:color="auto"/>
              <w:right w:val="single" w:sz="4" w:space="0" w:color="auto"/>
            </w:tcBorders>
            <w:shd w:val="clear" w:color="000000" w:fill="FFF2CC"/>
            <w:noWrap/>
            <w:vAlign w:val="bottom"/>
            <w:hideMark/>
          </w:tcPr>
          <w:p w:rsidR="0003464E" w:rsidRPr="0003464E" w:rsidRDefault="0003464E" w:rsidP="0003464E">
            <w:pPr>
              <w:spacing w:after="0" w:line="240" w:lineRule="auto"/>
              <w:ind w:firstLineChars="200" w:firstLine="480"/>
              <w:jc w:val="right"/>
              <w:rPr>
                <w:rFonts w:ascii="Times New Roman" w:eastAsia="Times New Roman" w:hAnsi="Times New Roman" w:cs="Times New Roman"/>
                <w:color w:val="000000"/>
                <w:sz w:val="24"/>
                <w:szCs w:val="24"/>
                <w:lang w:val="en-GB" w:eastAsia="en-GB"/>
              </w:rPr>
            </w:pPr>
            <w:r w:rsidRPr="0003464E">
              <w:rPr>
                <w:rFonts w:ascii="Times New Roman" w:eastAsia="Times New Roman" w:hAnsi="Times New Roman" w:cs="Times New Roman"/>
                <w:color w:val="000000"/>
                <w:sz w:val="24"/>
                <w:szCs w:val="24"/>
                <w:lang w:val="en-GB" w:eastAsia="en-GB"/>
              </w:rPr>
              <w:t>2.925.751,94</w:t>
            </w:r>
          </w:p>
        </w:tc>
        <w:tc>
          <w:tcPr>
            <w:tcW w:w="2025" w:type="dxa"/>
            <w:tcBorders>
              <w:top w:val="nil"/>
              <w:left w:val="nil"/>
              <w:bottom w:val="single" w:sz="4" w:space="0" w:color="auto"/>
              <w:right w:val="single" w:sz="4" w:space="0" w:color="auto"/>
            </w:tcBorders>
            <w:shd w:val="clear" w:color="000000" w:fill="FFF2CC"/>
            <w:noWrap/>
            <w:vAlign w:val="bottom"/>
            <w:hideMark/>
          </w:tcPr>
          <w:p w:rsidR="0003464E" w:rsidRPr="00BC7550" w:rsidRDefault="00BC7550" w:rsidP="0003464E">
            <w:pPr>
              <w:spacing w:after="0" w:line="240" w:lineRule="auto"/>
              <w:ind w:firstLineChars="200" w:firstLine="480"/>
              <w:jc w:val="right"/>
              <w:rPr>
                <w:rFonts w:ascii="Times New Roman" w:eastAsia="Times New Roman" w:hAnsi="Times New Roman" w:cs="Times New Roman"/>
                <w:color w:val="000000"/>
                <w:sz w:val="24"/>
                <w:szCs w:val="24"/>
                <w:lang w:val="en-GB" w:eastAsia="en-GB"/>
              </w:rPr>
            </w:pPr>
            <w:r w:rsidRPr="00BC7550">
              <w:rPr>
                <w:rFonts w:ascii="Times New Roman" w:eastAsia="Times New Roman" w:hAnsi="Times New Roman" w:cs="Times New Roman"/>
                <w:color w:val="000000"/>
                <w:sz w:val="24"/>
                <w:szCs w:val="24"/>
                <w:lang w:val="en-GB" w:eastAsia="en-GB"/>
              </w:rPr>
              <w:t>3.619.649,14</w:t>
            </w:r>
          </w:p>
        </w:tc>
      </w:tr>
      <w:tr w:rsidR="0003464E" w:rsidRPr="0003464E" w:rsidTr="0003464E">
        <w:trPr>
          <w:trHeight w:val="315"/>
        </w:trPr>
        <w:tc>
          <w:tcPr>
            <w:tcW w:w="1380" w:type="dxa"/>
            <w:tcBorders>
              <w:top w:val="nil"/>
              <w:left w:val="single" w:sz="4" w:space="0" w:color="auto"/>
              <w:bottom w:val="single" w:sz="4" w:space="0" w:color="auto"/>
              <w:right w:val="single" w:sz="4" w:space="0" w:color="auto"/>
            </w:tcBorders>
            <w:shd w:val="clear" w:color="000000" w:fill="FFF2CC"/>
            <w:noWrap/>
            <w:vAlign w:val="bottom"/>
            <w:hideMark/>
          </w:tcPr>
          <w:p w:rsidR="0003464E" w:rsidRPr="0003464E" w:rsidRDefault="0003464E" w:rsidP="0003464E">
            <w:pPr>
              <w:spacing w:after="0" w:line="240" w:lineRule="auto"/>
              <w:rPr>
                <w:rFonts w:ascii="Times New Roman" w:eastAsia="Times New Roman" w:hAnsi="Times New Roman" w:cs="Times New Roman"/>
                <w:color w:val="000000"/>
                <w:sz w:val="24"/>
                <w:szCs w:val="24"/>
                <w:lang w:val="en-GB" w:eastAsia="en-GB"/>
              </w:rPr>
            </w:pPr>
            <w:r w:rsidRPr="0003464E">
              <w:rPr>
                <w:rFonts w:ascii="Times New Roman" w:eastAsia="Times New Roman" w:hAnsi="Times New Roman" w:cs="Times New Roman"/>
                <w:color w:val="000000"/>
                <w:sz w:val="24"/>
                <w:szCs w:val="24"/>
                <w:lang w:val="en-GB" w:eastAsia="en-GB"/>
              </w:rPr>
              <w:t>CAD</w:t>
            </w:r>
          </w:p>
        </w:tc>
        <w:tc>
          <w:tcPr>
            <w:tcW w:w="2025" w:type="dxa"/>
            <w:tcBorders>
              <w:top w:val="nil"/>
              <w:left w:val="nil"/>
              <w:bottom w:val="single" w:sz="4" w:space="0" w:color="auto"/>
              <w:right w:val="single" w:sz="4" w:space="0" w:color="auto"/>
            </w:tcBorders>
            <w:shd w:val="clear" w:color="000000" w:fill="FFF2CC"/>
            <w:noWrap/>
            <w:vAlign w:val="bottom"/>
            <w:hideMark/>
          </w:tcPr>
          <w:p w:rsidR="0003464E" w:rsidRPr="0003464E" w:rsidRDefault="0003464E" w:rsidP="0003464E">
            <w:pPr>
              <w:spacing w:after="0" w:line="240" w:lineRule="auto"/>
              <w:ind w:firstLineChars="200" w:firstLine="480"/>
              <w:jc w:val="right"/>
              <w:rPr>
                <w:rFonts w:ascii="Times New Roman" w:eastAsia="Times New Roman" w:hAnsi="Times New Roman" w:cs="Times New Roman"/>
                <w:color w:val="000000"/>
                <w:sz w:val="24"/>
                <w:szCs w:val="24"/>
                <w:lang w:val="en-GB" w:eastAsia="en-GB"/>
              </w:rPr>
            </w:pPr>
            <w:r w:rsidRPr="0003464E">
              <w:rPr>
                <w:rFonts w:ascii="Times New Roman" w:eastAsia="Times New Roman" w:hAnsi="Times New Roman" w:cs="Times New Roman"/>
                <w:color w:val="000000"/>
                <w:sz w:val="24"/>
                <w:szCs w:val="24"/>
                <w:lang w:val="en-GB" w:eastAsia="en-GB"/>
              </w:rPr>
              <w:t>142.048,69</w:t>
            </w:r>
          </w:p>
        </w:tc>
        <w:tc>
          <w:tcPr>
            <w:tcW w:w="2025" w:type="dxa"/>
            <w:tcBorders>
              <w:top w:val="nil"/>
              <w:left w:val="nil"/>
              <w:bottom w:val="single" w:sz="4" w:space="0" w:color="auto"/>
              <w:right w:val="single" w:sz="4" w:space="0" w:color="auto"/>
            </w:tcBorders>
            <w:shd w:val="clear" w:color="000000" w:fill="FFF2CC"/>
            <w:noWrap/>
            <w:vAlign w:val="bottom"/>
            <w:hideMark/>
          </w:tcPr>
          <w:p w:rsidR="0003464E" w:rsidRPr="00BC7550" w:rsidRDefault="0003464E" w:rsidP="0003464E">
            <w:pPr>
              <w:spacing w:after="0" w:line="240" w:lineRule="auto"/>
              <w:ind w:firstLineChars="200" w:firstLine="480"/>
              <w:jc w:val="right"/>
              <w:rPr>
                <w:rFonts w:ascii="Times New Roman" w:eastAsia="Times New Roman" w:hAnsi="Times New Roman" w:cs="Times New Roman"/>
                <w:color w:val="000000"/>
                <w:sz w:val="24"/>
                <w:szCs w:val="24"/>
                <w:lang w:val="en-GB" w:eastAsia="en-GB"/>
              </w:rPr>
            </w:pPr>
            <w:r w:rsidRPr="00BC7550">
              <w:rPr>
                <w:rFonts w:ascii="Times New Roman" w:eastAsia="Times New Roman" w:hAnsi="Times New Roman" w:cs="Times New Roman"/>
                <w:color w:val="000000"/>
                <w:sz w:val="24"/>
                <w:szCs w:val="24"/>
                <w:lang w:val="en-GB" w:eastAsia="en-GB"/>
              </w:rPr>
              <w:t>142.049,03</w:t>
            </w:r>
          </w:p>
        </w:tc>
      </w:tr>
      <w:tr w:rsidR="0003464E" w:rsidRPr="0003464E" w:rsidTr="0003464E">
        <w:trPr>
          <w:trHeight w:val="315"/>
        </w:trPr>
        <w:tc>
          <w:tcPr>
            <w:tcW w:w="1380" w:type="dxa"/>
            <w:tcBorders>
              <w:top w:val="nil"/>
              <w:left w:val="single" w:sz="4" w:space="0" w:color="auto"/>
              <w:bottom w:val="single" w:sz="4" w:space="0" w:color="auto"/>
              <w:right w:val="single" w:sz="4" w:space="0" w:color="auto"/>
            </w:tcBorders>
            <w:shd w:val="clear" w:color="000000" w:fill="FFF2CC"/>
            <w:noWrap/>
            <w:vAlign w:val="bottom"/>
            <w:hideMark/>
          </w:tcPr>
          <w:p w:rsidR="0003464E" w:rsidRPr="0003464E" w:rsidRDefault="0003464E" w:rsidP="0003464E">
            <w:pPr>
              <w:spacing w:after="0" w:line="240" w:lineRule="auto"/>
              <w:rPr>
                <w:rFonts w:ascii="Times New Roman" w:eastAsia="Times New Roman" w:hAnsi="Times New Roman" w:cs="Times New Roman"/>
                <w:color w:val="000000"/>
                <w:sz w:val="24"/>
                <w:szCs w:val="24"/>
                <w:lang w:val="en-GB" w:eastAsia="en-GB"/>
              </w:rPr>
            </w:pPr>
            <w:r w:rsidRPr="0003464E">
              <w:rPr>
                <w:rFonts w:ascii="Times New Roman" w:eastAsia="Times New Roman" w:hAnsi="Times New Roman" w:cs="Times New Roman"/>
                <w:color w:val="000000"/>
                <w:sz w:val="24"/>
                <w:szCs w:val="24"/>
                <w:lang w:val="en-GB" w:eastAsia="en-GB"/>
              </w:rPr>
              <w:t>NOK</w:t>
            </w:r>
          </w:p>
        </w:tc>
        <w:tc>
          <w:tcPr>
            <w:tcW w:w="2025" w:type="dxa"/>
            <w:tcBorders>
              <w:top w:val="nil"/>
              <w:left w:val="nil"/>
              <w:bottom w:val="single" w:sz="4" w:space="0" w:color="auto"/>
              <w:right w:val="single" w:sz="4" w:space="0" w:color="auto"/>
            </w:tcBorders>
            <w:shd w:val="clear" w:color="000000" w:fill="FFF2CC"/>
            <w:noWrap/>
            <w:vAlign w:val="bottom"/>
            <w:hideMark/>
          </w:tcPr>
          <w:p w:rsidR="0003464E" w:rsidRPr="0003464E" w:rsidRDefault="0003464E" w:rsidP="0003464E">
            <w:pPr>
              <w:spacing w:after="0" w:line="240" w:lineRule="auto"/>
              <w:ind w:firstLineChars="200" w:firstLine="480"/>
              <w:jc w:val="right"/>
              <w:rPr>
                <w:rFonts w:ascii="Times New Roman" w:eastAsia="Times New Roman" w:hAnsi="Times New Roman" w:cs="Times New Roman"/>
                <w:color w:val="000000"/>
                <w:sz w:val="24"/>
                <w:szCs w:val="24"/>
                <w:lang w:val="en-GB" w:eastAsia="en-GB"/>
              </w:rPr>
            </w:pPr>
            <w:r w:rsidRPr="0003464E">
              <w:rPr>
                <w:rFonts w:ascii="Times New Roman" w:eastAsia="Times New Roman" w:hAnsi="Times New Roman" w:cs="Times New Roman"/>
                <w:color w:val="000000"/>
                <w:sz w:val="24"/>
                <w:szCs w:val="24"/>
                <w:lang w:val="en-GB" w:eastAsia="en-GB"/>
              </w:rPr>
              <w:t>3.416,81</w:t>
            </w:r>
          </w:p>
        </w:tc>
        <w:tc>
          <w:tcPr>
            <w:tcW w:w="2025" w:type="dxa"/>
            <w:tcBorders>
              <w:top w:val="nil"/>
              <w:left w:val="nil"/>
              <w:bottom w:val="single" w:sz="4" w:space="0" w:color="auto"/>
              <w:right w:val="single" w:sz="4" w:space="0" w:color="auto"/>
            </w:tcBorders>
            <w:shd w:val="clear" w:color="000000" w:fill="FFF2CC"/>
            <w:noWrap/>
            <w:vAlign w:val="bottom"/>
            <w:hideMark/>
          </w:tcPr>
          <w:p w:rsidR="0003464E" w:rsidRPr="00BC7550" w:rsidRDefault="0003464E" w:rsidP="0003464E">
            <w:pPr>
              <w:spacing w:after="0" w:line="240" w:lineRule="auto"/>
              <w:ind w:firstLineChars="200" w:firstLine="480"/>
              <w:jc w:val="right"/>
              <w:rPr>
                <w:rFonts w:ascii="Times New Roman" w:eastAsia="Times New Roman" w:hAnsi="Times New Roman" w:cs="Times New Roman"/>
                <w:color w:val="000000"/>
                <w:sz w:val="24"/>
                <w:szCs w:val="24"/>
                <w:lang w:val="en-GB" w:eastAsia="en-GB"/>
              </w:rPr>
            </w:pPr>
            <w:r w:rsidRPr="00BC7550">
              <w:rPr>
                <w:rFonts w:ascii="Times New Roman" w:eastAsia="Times New Roman" w:hAnsi="Times New Roman" w:cs="Times New Roman"/>
                <w:color w:val="000000"/>
                <w:sz w:val="24"/>
                <w:szCs w:val="24"/>
                <w:lang w:val="en-GB" w:eastAsia="en-GB"/>
              </w:rPr>
              <w:t>3.416,82</w:t>
            </w:r>
          </w:p>
        </w:tc>
      </w:tr>
      <w:tr w:rsidR="0003464E" w:rsidRPr="0003464E" w:rsidTr="0003464E">
        <w:trPr>
          <w:trHeight w:val="315"/>
        </w:trPr>
        <w:tc>
          <w:tcPr>
            <w:tcW w:w="1380" w:type="dxa"/>
            <w:tcBorders>
              <w:top w:val="nil"/>
              <w:left w:val="single" w:sz="4" w:space="0" w:color="auto"/>
              <w:bottom w:val="single" w:sz="4" w:space="0" w:color="auto"/>
              <w:right w:val="single" w:sz="4" w:space="0" w:color="auto"/>
            </w:tcBorders>
            <w:shd w:val="clear" w:color="000000" w:fill="FFF2CC"/>
            <w:noWrap/>
            <w:vAlign w:val="bottom"/>
            <w:hideMark/>
          </w:tcPr>
          <w:p w:rsidR="0003464E" w:rsidRPr="0003464E" w:rsidRDefault="0003464E" w:rsidP="0003464E">
            <w:pPr>
              <w:spacing w:after="0" w:line="240" w:lineRule="auto"/>
              <w:rPr>
                <w:rFonts w:ascii="Times New Roman" w:eastAsia="Times New Roman" w:hAnsi="Times New Roman" w:cs="Times New Roman"/>
                <w:color w:val="000000"/>
                <w:sz w:val="24"/>
                <w:szCs w:val="24"/>
                <w:lang w:val="en-GB" w:eastAsia="en-GB"/>
              </w:rPr>
            </w:pPr>
            <w:r w:rsidRPr="0003464E">
              <w:rPr>
                <w:rFonts w:ascii="Times New Roman" w:eastAsia="Times New Roman" w:hAnsi="Times New Roman" w:cs="Times New Roman"/>
                <w:color w:val="000000"/>
                <w:sz w:val="24"/>
                <w:szCs w:val="24"/>
                <w:lang w:val="en-GB" w:eastAsia="en-GB"/>
              </w:rPr>
              <w:t>GBP</w:t>
            </w:r>
          </w:p>
        </w:tc>
        <w:tc>
          <w:tcPr>
            <w:tcW w:w="2025" w:type="dxa"/>
            <w:tcBorders>
              <w:top w:val="nil"/>
              <w:left w:val="nil"/>
              <w:bottom w:val="single" w:sz="4" w:space="0" w:color="auto"/>
              <w:right w:val="single" w:sz="4" w:space="0" w:color="auto"/>
            </w:tcBorders>
            <w:shd w:val="clear" w:color="000000" w:fill="FFF2CC"/>
            <w:noWrap/>
            <w:vAlign w:val="bottom"/>
            <w:hideMark/>
          </w:tcPr>
          <w:p w:rsidR="0003464E" w:rsidRPr="0003464E" w:rsidRDefault="0003464E" w:rsidP="0003464E">
            <w:pPr>
              <w:spacing w:after="0" w:line="240" w:lineRule="auto"/>
              <w:ind w:firstLineChars="200" w:firstLine="480"/>
              <w:jc w:val="right"/>
              <w:rPr>
                <w:rFonts w:ascii="Times New Roman" w:eastAsia="Times New Roman" w:hAnsi="Times New Roman" w:cs="Times New Roman"/>
                <w:color w:val="000000"/>
                <w:sz w:val="24"/>
                <w:szCs w:val="24"/>
                <w:lang w:val="en-GB" w:eastAsia="en-GB"/>
              </w:rPr>
            </w:pPr>
            <w:r w:rsidRPr="0003464E">
              <w:rPr>
                <w:rFonts w:ascii="Times New Roman" w:eastAsia="Times New Roman" w:hAnsi="Times New Roman" w:cs="Times New Roman"/>
                <w:color w:val="000000"/>
                <w:sz w:val="24"/>
                <w:szCs w:val="24"/>
                <w:lang w:val="en-GB" w:eastAsia="en-GB"/>
              </w:rPr>
              <w:t>0,69</w:t>
            </w:r>
          </w:p>
        </w:tc>
        <w:tc>
          <w:tcPr>
            <w:tcW w:w="2025" w:type="dxa"/>
            <w:tcBorders>
              <w:top w:val="nil"/>
              <w:left w:val="nil"/>
              <w:bottom w:val="single" w:sz="4" w:space="0" w:color="auto"/>
              <w:right w:val="single" w:sz="4" w:space="0" w:color="auto"/>
            </w:tcBorders>
            <w:shd w:val="clear" w:color="000000" w:fill="FFF2CC"/>
            <w:noWrap/>
            <w:vAlign w:val="bottom"/>
            <w:hideMark/>
          </w:tcPr>
          <w:p w:rsidR="0003464E" w:rsidRPr="00BC7550" w:rsidRDefault="0003464E" w:rsidP="0003464E">
            <w:pPr>
              <w:spacing w:after="0" w:line="240" w:lineRule="auto"/>
              <w:ind w:firstLineChars="200" w:firstLine="480"/>
              <w:jc w:val="right"/>
              <w:rPr>
                <w:rFonts w:ascii="Times New Roman" w:eastAsia="Times New Roman" w:hAnsi="Times New Roman" w:cs="Times New Roman"/>
                <w:color w:val="000000"/>
                <w:sz w:val="24"/>
                <w:szCs w:val="24"/>
                <w:lang w:val="en-GB" w:eastAsia="en-GB"/>
              </w:rPr>
            </w:pPr>
            <w:r w:rsidRPr="00BC7550">
              <w:rPr>
                <w:rFonts w:ascii="Times New Roman" w:eastAsia="Times New Roman" w:hAnsi="Times New Roman" w:cs="Times New Roman"/>
                <w:color w:val="000000"/>
                <w:sz w:val="24"/>
                <w:szCs w:val="24"/>
                <w:lang w:val="en-GB" w:eastAsia="en-GB"/>
              </w:rPr>
              <w:t>0,69</w:t>
            </w:r>
          </w:p>
        </w:tc>
      </w:tr>
      <w:tr w:rsidR="0003464E" w:rsidRPr="0003464E" w:rsidTr="0003464E">
        <w:trPr>
          <w:trHeight w:val="315"/>
        </w:trPr>
        <w:tc>
          <w:tcPr>
            <w:tcW w:w="1380" w:type="dxa"/>
            <w:tcBorders>
              <w:top w:val="nil"/>
              <w:left w:val="single" w:sz="4" w:space="0" w:color="auto"/>
              <w:bottom w:val="single" w:sz="4" w:space="0" w:color="auto"/>
              <w:right w:val="single" w:sz="4" w:space="0" w:color="auto"/>
            </w:tcBorders>
            <w:shd w:val="clear" w:color="000000" w:fill="FFF2CC"/>
            <w:noWrap/>
            <w:vAlign w:val="bottom"/>
            <w:hideMark/>
          </w:tcPr>
          <w:p w:rsidR="0003464E" w:rsidRPr="0003464E" w:rsidRDefault="0003464E" w:rsidP="0003464E">
            <w:pPr>
              <w:spacing w:after="0" w:line="240" w:lineRule="auto"/>
              <w:rPr>
                <w:rFonts w:ascii="Times New Roman" w:eastAsia="Times New Roman" w:hAnsi="Times New Roman" w:cs="Times New Roman"/>
                <w:color w:val="000000"/>
                <w:sz w:val="24"/>
                <w:szCs w:val="24"/>
                <w:lang w:val="en-GB" w:eastAsia="en-GB"/>
              </w:rPr>
            </w:pPr>
            <w:r w:rsidRPr="0003464E">
              <w:rPr>
                <w:rFonts w:ascii="Times New Roman" w:eastAsia="Times New Roman" w:hAnsi="Times New Roman" w:cs="Times New Roman"/>
                <w:color w:val="000000"/>
                <w:sz w:val="24"/>
                <w:szCs w:val="24"/>
                <w:lang w:val="en-GB" w:eastAsia="en-GB"/>
              </w:rPr>
              <w:t>USD</w:t>
            </w:r>
          </w:p>
        </w:tc>
        <w:tc>
          <w:tcPr>
            <w:tcW w:w="2025" w:type="dxa"/>
            <w:tcBorders>
              <w:top w:val="nil"/>
              <w:left w:val="nil"/>
              <w:bottom w:val="single" w:sz="4" w:space="0" w:color="auto"/>
              <w:right w:val="single" w:sz="4" w:space="0" w:color="auto"/>
            </w:tcBorders>
            <w:shd w:val="clear" w:color="000000" w:fill="FFF2CC"/>
            <w:noWrap/>
            <w:vAlign w:val="bottom"/>
            <w:hideMark/>
          </w:tcPr>
          <w:p w:rsidR="0003464E" w:rsidRPr="0003464E" w:rsidRDefault="0003464E" w:rsidP="0003464E">
            <w:pPr>
              <w:spacing w:after="0" w:line="240" w:lineRule="auto"/>
              <w:ind w:firstLineChars="200" w:firstLine="480"/>
              <w:jc w:val="right"/>
              <w:rPr>
                <w:rFonts w:ascii="Times New Roman" w:eastAsia="Times New Roman" w:hAnsi="Times New Roman" w:cs="Times New Roman"/>
                <w:color w:val="000000"/>
                <w:sz w:val="24"/>
                <w:szCs w:val="24"/>
                <w:lang w:val="en-GB" w:eastAsia="en-GB"/>
              </w:rPr>
            </w:pPr>
            <w:r w:rsidRPr="0003464E">
              <w:rPr>
                <w:rFonts w:ascii="Times New Roman" w:eastAsia="Times New Roman" w:hAnsi="Times New Roman" w:cs="Times New Roman"/>
                <w:color w:val="000000"/>
                <w:sz w:val="24"/>
                <w:szCs w:val="24"/>
                <w:lang w:val="en-GB" w:eastAsia="en-GB"/>
              </w:rPr>
              <w:t>31,11</w:t>
            </w:r>
          </w:p>
        </w:tc>
        <w:tc>
          <w:tcPr>
            <w:tcW w:w="2025" w:type="dxa"/>
            <w:tcBorders>
              <w:top w:val="nil"/>
              <w:left w:val="nil"/>
              <w:bottom w:val="single" w:sz="4" w:space="0" w:color="auto"/>
              <w:right w:val="single" w:sz="4" w:space="0" w:color="auto"/>
            </w:tcBorders>
            <w:shd w:val="clear" w:color="000000" w:fill="FFF2CC"/>
            <w:noWrap/>
            <w:vAlign w:val="bottom"/>
            <w:hideMark/>
          </w:tcPr>
          <w:p w:rsidR="0003464E" w:rsidRPr="00BC7550" w:rsidRDefault="00BC7550" w:rsidP="0003464E">
            <w:pPr>
              <w:spacing w:after="0" w:line="240" w:lineRule="auto"/>
              <w:ind w:firstLineChars="200" w:firstLine="480"/>
              <w:jc w:val="right"/>
              <w:rPr>
                <w:rFonts w:ascii="Times New Roman" w:eastAsia="Times New Roman" w:hAnsi="Times New Roman" w:cs="Times New Roman"/>
                <w:color w:val="000000"/>
                <w:sz w:val="24"/>
                <w:szCs w:val="24"/>
                <w:lang w:val="en-GB" w:eastAsia="en-GB"/>
              </w:rPr>
            </w:pPr>
            <w:r w:rsidRPr="00BC7550">
              <w:rPr>
                <w:rFonts w:ascii="Times New Roman" w:eastAsia="Times New Roman" w:hAnsi="Times New Roman" w:cs="Times New Roman"/>
                <w:color w:val="000000"/>
                <w:sz w:val="24"/>
                <w:szCs w:val="24"/>
                <w:lang w:val="en-GB" w:eastAsia="en-GB"/>
              </w:rPr>
              <w:t>239,63</w:t>
            </w:r>
          </w:p>
        </w:tc>
      </w:tr>
    </w:tbl>
    <w:p w:rsidR="006F1F9B" w:rsidRDefault="006F1F9B" w:rsidP="00FD5AEE">
      <w:pPr>
        <w:jc w:val="both"/>
        <w:rPr>
          <w:rFonts w:ascii="Times New Roman" w:hAnsi="Times New Roman" w:cs="Times New Roman"/>
          <w:sz w:val="24"/>
          <w:szCs w:val="24"/>
        </w:rPr>
      </w:pPr>
    </w:p>
    <w:p w:rsidR="0090661F" w:rsidRDefault="00F01CFD" w:rsidP="005E3B8B">
      <w:pPr>
        <w:spacing w:after="0"/>
        <w:jc w:val="both"/>
        <w:rPr>
          <w:rFonts w:ascii="Times New Roman" w:hAnsi="Times New Roman" w:cs="Times New Roman"/>
          <w:sz w:val="24"/>
          <w:szCs w:val="24"/>
        </w:rPr>
      </w:pPr>
      <w:r>
        <w:rPr>
          <w:rFonts w:ascii="Times New Roman" w:hAnsi="Times New Roman" w:cs="Times New Roman"/>
          <w:sz w:val="24"/>
          <w:szCs w:val="24"/>
        </w:rPr>
        <w:t>U</w:t>
      </w:r>
      <w:r w:rsidR="00D87A52" w:rsidRPr="00CB596E">
        <w:rPr>
          <w:rFonts w:ascii="Times New Roman" w:hAnsi="Times New Roman" w:cs="Times New Roman"/>
          <w:sz w:val="24"/>
          <w:szCs w:val="24"/>
        </w:rPr>
        <w:t xml:space="preserve"> 2023. godin</w:t>
      </w:r>
      <w:r>
        <w:rPr>
          <w:rFonts w:ascii="Times New Roman" w:hAnsi="Times New Roman" w:cs="Times New Roman"/>
          <w:sz w:val="24"/>
          <w:szCs w:val="24"/>
        </w:rPr>
        <w:t>i</w:t>
      </w:r>
      <w:r w:rsidR="00D87A52" w:rsidRPr="00CB596E">
        <w:rPr>
          <w:rFonts w:ascii="Times New Roman" w:hAnsi="Times New Roman" w:cs="Times New Roman"/>
          <w:sz w:val="24"/>
          <w:szCs w:val="24"/>
        </w:rPr>
        <w:t xml:space="preserve"> ostvaren je </w:t>
      </w:r>
      <w:r w:rsidR="00D87A52" w:rsidRPr="003F3193">
        <w:rPr>
          <w:rFonts w:ascii="Times New Roman" w:hAnsi="Times New Roman" w:cs="Times New Roman"/>
          <w:b/>
          <w:sz w:val="24"/>
          <w:szCs w:val="24"/>
        </w:rPr>
        <w:t xml:space="preserve">novčani </w:t>
      </w:r>
      <w:r w:rsidR="00ED5C6A">
        <w:rPr>
          <w:rFonts w:ascii="Times New Roman" w:hAnsi="Times New Roman" w:cs="Times New Roman"/>
          <w:b/>
          <w:sz w:val="24"/>
          <w:szCs w:val="24"/>
        </w:rPr>
        <w:t>priljev</w:t>
      </w:r>
      <w:r w:rsidR="00D87A52" w:rsidRPr="003F3193">
        <w:rPr>
          <w:rFonts w:ascii="Times New Roman" w:hAnsi="Times New Roman" w:cs="Times New Roman"/>
          <w:b/>
          <w:sz w:val="24"/>
          <w:szCs w:val="24"/>
        </w:rPr>
        <w:t xml:space="preserve"> temeljem</w:t>
      </w:r>
      <w:r w:rsidR="00D87A52" w:rsidRPr="00CB596E">
        <w:rPr>
          <w:rFonts w:ascii="Times New Roman" w:hAnsi="Times New Roman" w:cs="Times New Roman"/>
          <w:sz w:val="24"/>
          <w:szCs w:val="24"/>
        </w:rPr>
        <w:t xml:space="preserve"> </w:t>
      </w:r>
      <w:r w:rsidR="00D87A52" w:rsidRPr="003F3193">
        <w:rPr>
          <w:rFonts w:ascii="Times New Roman" w:hAnsi="Times New Roman" w:cs="Times New Roman"/>
          <w:b/>
          <w:sz w:val="24"/>
          <w:szCs w:val="24"/>
        </w:rPr>
        <w:t xml:space="preserve">prihoda u visini </w:t>
      </w:r>
      <w:r w:rsidRPr="003F3193">
        <w:rPr>
          <w:rFonts w:ascii="Times New Roman" w:hAnsi="Times New Roman" w:cs="Times New Roman"/>
          <w:b/>
          <w:sz w:val="24"/>
          <w:szCs w:val="24"/>
        </w:rPr>
        <w:t>11.964.981,29</w:t>
      </w:r>
      <w:r w:rsidR="00D87A52" w:rsidRPr="003F3193">
        <w:rPr>
          <w:rFonts w:ascii="Times New Roman" w:hAnsi="Times New Roman" w:cs="Times New Roman"/>
          <w:b/>
          <w:sz w:val="24"/>
          <w:szCs w:val="24"/>
        </w:rPr>
        <w:t xml:space="preserve"> EUR</w:t>
      </w:r>
      <w:r w:rsidR="00D87A52" w:rsidRPr="00CB596E">
        <w:rPr>
          <w:rFonts w:ascii="Times New Roman" w:hAnsi="Times New Roman" w:cs="Times New Roman"/>
          <w:sz w:val="24"/>
          <w:szCs w:val="24"/>
        </w:rPr>
        <w:t>, što čini</w:t>
      </w:r>
      <w:r w:rsidR="00740029" w:rsidRPr="00CB596E">
        <w:rPr>
          <w:rFonts w:ascii="Times New Roman" w:hAnsi="Times New Roman" w:cs="Times New Roman"/>
          <w:sz w:val="24"/>
          <w:szCs w:val="24"/>
        </w:rPr>
        <w:t xml:space="preserve"> </w:t>
      </w:r>
      <w:r>
        <w:rPr>
          <w:rFonts w:ascii="Times New Roman" w:hAnsi="Times New Roman" w:cs="Times New Roman"/>
          <w:sz w:val="24"/>
          <w:szCs w:val="24"/>
        </w:rPr>
        <w:t>100,97</w:t>
      </w:r>
      <w:r w:rsidR="00D87A52" w:rsidRPr="00CB596E">
        <w:rPr>
          <w:rFonts w:ascii="Times New Roman" w:hAnsi="Times New Roman" w:cs="Times New Roman"/>
          <w:sz w:val="24"/>
          <w:szCs w:val="24"/>
        </w:rPr>
        <w:t xml:space="preserve">% godišnjeg plana za 2023. godinu, te </w:t>
      </w:r>
      <w:r>
        <w:rPr>
          <w:rFonts w:ascii="Times New Roman" w:hAnsi="Times New Roman" w:cs="Times New Roman"/>
          <w:sz w:val="24"/>
          <w:szCs w:val="24"/>
        </w:rPr>
        <w:t>107,36</w:t>
      </w:r>
      <w:r w:rsidR="00D87A52" w:rsidRPr="00CB596E">
        <w:rPr>
          <w:rFonts w:ascii="Times New Roman" w:hAnsi="Times New Roman" w:cs="Times New Roman"/>
          <w:sz w:val="24"/>
          <w:szCs w:val="24"/>
        </w:rPr>
        <w:t>% izvršenja prihoda u istom razdoblju prethodne godine.</w:t>
      </w:r>
      <w:r>
        <w:rPr>
          <w:rFonts w:ascii="Times New Roman" w:hAnsi="Times New Roman" w:cs="Times New Roman"/>
          <w:sz w:val="24"/>
          <w:szCs w:val="24"/>
        </w:rPr>
        <w:t xml:space="preserve"> Prihodi, su dakle, realizirani u velikoj mjeri u skladu sa planom.</w:t>
      </w:r>
    </w:p>
    <w:p w:rsidR="005E3B8B" w:rsidRDefault="005E3B8B" w:rsidP="005E3B8B">
      <w:pPr>
        <w:spacing w:after="0"/>
        <w:jc w:val="both"/>
        <w:rPr>
          <w:rFonts w:ascii="Times New Roman" w:hAnsi="Times New Roman" w:cs="Times New Roman"/>
          <w:sz w:val="24"/>
          <w:szCs w:val="24"/>
        </w:rPr>
      </w:pPr>
      <w:r>
        <w:rPr>
          <w:rFonts w:ascii="Times New Roman" w:hAnsi="Times New Roman" w:cs="Times New Roman"/>
          <w:sz w:val="24"/>
          <w:szCs w:val="24"/>
        </w:rPr>
        <w:t>Podaci plana se odnose na rebalans financijskog plana usvojen dana 20.12.2023.</w:t>
      </w:r>
    </w:p>
    <w:p w:rsidR="005E3B8B" w:rsidRDefault="005E3B8B" w:rsidP="005E3B8B">
      <w:pPr>
        <w:spacing w:after="0"/>
        <w:jc w:val="both"/>
        <w:rPr>
          <w:rFonts w:ascii="Times New Roman" w:hAnsi="Times New Roman" w:cs="Times New Roman"/>
          <w:sz w:val="24"/>
          <w:szCs w:val="24"/>
        </w:rPr>
      </w:pPr>
    </w:p>
    <w:p w:rsidR="0038498E" w:rsidRDefault="0038498E" w:rsidP="00FD5AEE">
      <w:pPr>
        <w:jc w:val="both"/>
        <w:rPr>
          <w:rFonts w:ascii="Times New Roman" w:hAnsi="Times New Roman" w:cs="Times New Roman"/>
          <w:b/>
          <w:sz w:val="24"/>
          <w:szCs w:val="24"/>
        </w:rPr>
      </w:pPr>
      <w:r>
        <w:rPr>
          <w:rFonts w:ascii="Times New Roman" w:hAnsi="Times New Roman" w:cs="Times New Roman"/>
          <w:b/>
          <w:sz w:val="24"/>
          <w:szCs w:val="24"/>
        </w:rPr>
        <w:t>Izvršenje prihoda po ekonomskoj klasifikaciji</w:t>
      </w:r>
    </w:p>
    <w:p w:rsidR="0038498E" w:rsidRPr="0038498E" w:rsidRDefault="0038498E" w:rsidP="00FD5AEE">
      <w:pPr>
        <w:jc w:val="both"/>
        <w:rPr>
          <w:rFonts w:ascii="Times New Roman" w:hAnsi="Times New Roman" w:cs="Times New Roman"/>
          <w:sz w:val="24"/>
          <w:szCs w:val="24"/>
        </w:rPr>
      </w:pPr>
      <w:r w:rsidRPr="0038498E">
        <w:rPr>
          <w:rFonts w:ascii="Times New Roman" w:hAnsi="Times New Roman" w:cs="Times New Roman"/>
          <w:sz w:val="24"/>
          <w:szCs w:val="24"/>
        </w:rPr>
        <w:t xml:space="preserve">Izvršenje prihoda iz proračuna </w:t>
      </w:r>
      <w:r>
        <w:rPr>
          <w:rFonts w:ascii="Times New Roman" w:hAnsi="Times New Roman" w:cs="Times New Roman"/>
          <w:sz w:val="24"/>
          <w:szCs w:val="24"/>
        </w:rPr>
        <w:t>(konta skupine 67) je u velikoj mjeri skladu sa planom (99,33%), kao i izvršenje pomoći iz inozemstva (konta skupine 63) (93,77% u odnosu na plan). Nešto je veće odstupanje kod izvršenja prihoda od školarina (konta skupine 65) gdje je izvršenje plana ostvareno u visini 119,35%</w:t>
      </w:r>
      <w:r w:rsidR="00362A71">
        <w:rPr>
          <w:rFonts w:ascii="Times New Roman" w:hAnsi="Times New Roman" w:cs="Times New Roman"/>
          <w:sz w:val="24"/>
          <w:szCs w:val="24"/>
        </w:rPr>
        <w:t xml:space="preserve"> radi povećanja broja upisanih studenata na studiju Medicine na engleskom jeziku. Također, odstupanje je prisutno i kod prihoda od pruženih usluge te donacija (konta skupine 66) gdje je plan izvršen u visini 56,84% u najvećem dijelu radi toga što nije došlo do realizacije projekta sa tvrtkom Roche</w:t>
      </w:r>
      <w:r w:rsidR="00E15623">
        <w:rPr>
          <w:rFonts w:ascii="Times New Roman" w:hAnsi="Times New Roman" w:cs="Times New Roman"/>
          <w:sz w:val="24"/>
          <w:szCs w:val="24"/>
        </w:rPr>
        <w:t xml:space="preserve"> </w:t>
      </w:r>
      <w:proofErr w:type="spellStart"/>
      <w:r w:rsidR="00E15623">
        <w:rPr>
          <w:rFonts w:ascii="Times New Roman" w:hAnsi="Times New Roman" w:cs="Times New Roman"/>
          <w:sz w:val="24"/>
          <w:szCs w:val="24"/>
        </w:rPr>
        <w:t>Glycart</w:t>
      </w:r>
      <w:proofErr w:type="spellEnd"/>
      <w:r w:rsidR="00E15623">
        <w:rPr>
          <w:rFonts w:ascii="Times New Roman" w:hAnsi="Times New Roman" w:cs="Times New Roman"/>
          <w:sz w:val="24"/>
          <w:szCs w:val="24"/>
        </w:rPr>
        <w:t xml:space="preserve"> AG</w:t>
      </w:r>
      <w:r w:rsidR="00362A71">
        <w:rPr>
          <w:rFonts w:ascii="Times New Roman" w:hAnsi="Times New Roman" w:cs="Times New Roman"/>
          <w:sz w:val="24"/>
          <w:szCs w:val="24"/>
        </w:rPr>
        <w:t>.</w:t>
      </w:r>
    </w:p>
    <w:p w:rsidR="0038498E" w:rsidRPr="0038498E" w:rsidRDefault="0038498E" w:rsidP="00FD5AEE">
      <w:pPr>
        <w:jc w:val="both"/>
        <w:rPr>
          <w:rFonts w:ascii="Times New Roman" w:hAnsi="Times New Roman" w:cs="Times New Roman"/>
          <w:b/>
          <w:sz w:val="24"/>
          <w:szCs w:val="24"/>
        </w:rPr>
      </w:pPr>
    </w:p>
    <w:p w:rsidR="0038498E" w:rsidRPr="0038498E" w:rsidRDefault="0038498E" w:rsidP="00FD5AEE">
      <w:pPr>
        <w:jc w:val="both"/>
        <w:rPr>
          <w:rFonts w:ascii="Times New Roman" w:hAnsi="Times New Roman" w:cs="Times New Roman"/>
          <w:b/>
          <w:sz w:val="24"/>
          <w:szCs w:val="24"/>
        </w:rPr>
      </w:pPr>
      <w:r w:rsidRPr="0038498E">
        <w:rPr>
          <w:rFonts w:ascii="Times New Roman" w:hAnsi="Times New Roman" w:cs="Times New Roman"/>
          <w:b/>
          <w:sz w:val="24"/>
          <w:szCs w:val="24"/>
        </w:rPr>
        <w:t>Izvršenje prihoda po izvorima</w:t>
      </w:r>
    </w:p>
    <w:p w:rsidR="003F3193" w:rsidRPr="003F3193" w:rsidRDefault="003F3193" w:rsidP="003F3193">
      <w:pPr>
        <w:pStyle w:val="HTMLPreformatted"/>
        <w:shd w:val="clear" w:color="auto" w:fill="FFFFFF"/>
        <w:jc w:val="both"/>
        <w:rPr>
          <w:rFonts w:ascii="Times New Roman" w:hAnsi="Times New Roman" w:cs="Times New Roman"/>
          <w:sz w:val="24"/>
          <w:szCs w:val="24"/>
        </w:rPr>
      </w:pPr>
      <w:r w:rsidRPr="003F3193">
        <w:rPr>
          <w:rFonts w:ascii="Times New Roman" w:hAnsi="Times New Roman" w:cs="Times New Roman"/>
          <w:b/>
          <w:sz w:val="24"/>
          <w:szCs w:val="24"/>
        </w:rPr>
        <w:t xml:space="preserve">11 </w:t>
      </w:r>
      <w:proofErr w:type="spellStart"/>
      <w:r w:rsidRPr="003F3193">
        <w:rPr>
          <w:rFonts w:ascii="Times New Roman" w:hAnsi="Times New Roman" w:cs="Times New Roman"/>
          <w:b/>
          <w:sz w:val="24"/>
          <w:szCs w:val="24"/>
        </w:rPr>
        <w:t>Opće</w:t>
      </w:r>
      <w:proofErr w:type="spellEnd"/>
      <w:r w:rsidRPr="003F3193">
        <w:rPr>
          <w:rFonts w:ascii="Times New Roman" w:hAnsi="Times New Roman" w:cs="Times New Roman"/>
          <w:b/>
          <w:sz w:val="24"/>
          <w:szCs w:val="24"/>
        </w:rPr>
        <w:t xml:space="preserve"> </w:t>
      </w:r>
      <w:proofErr w:type="spellStart"/>
      <w:r w:rsidRPr="003F3193">
        <w:rPr>
          <w:rFonts w:ascii="Times New Roman" w:hAnsi="Times New Roman" w:cs="Times New Roman"/>
          <w:b/>
          <w:sz w:val="24"/>
          <w:szCs w:val="24"/>
        </w:rPr>
        <w:t>prihode</w:t>
      </w:r>
      <w:proofErr w:type="spellEnd"/>
      <w:r w:rsidRPr="003F3193">
        <w:rPr>
          <w:rFonts w:ascii="Times New Roman" w:hAnsi="Times New Roman" w:cs="Times New Roman"/>
          <w:b/>
          <w:sz w:val="24"/>
          <w:szCs w:val="24"/>
        </w:rPr>
        <w:t xml:space="preserve"> </w:t>
      </w:r>
      <w:proofErr w:type="spellStart"/>
      <w:r w:rsidRPr="003F3193">
        <w:rPr>
          <w:rFonts w:ascii="Times New Roman" w:hAnsi="Times New Roman" w:cs="Times New Roman"/>
          <w:b/>
          <w:sz w:val="24"/>
          <w:szCs w:val="24"/>
        </w:rPr>
        <w:t>i</w:t>
      </w:r>
      <w:proofErr w:type="spellEnd"/>
      <w:r w:rsidRPr="003F3193">
        <w:rPr>
          <w:rFonts w:ascii="Times New Roman" w:hAnsi="Times New Roman" w:cs="Times New Roman"/>
          <w:b/>
          <w:sz w:val="24"/>
          <w:szCs w:val="24"/>
        </w:rPr>
        <w:t xml:space="preserve"> </w:t>
      </w:r>
      <w:proofErr w:type="spellStart"/>
      <w:r w:rsidRPr="003F3193">
        <w:rPr>
          <w:rFonts w:ascii="Times New Roman" w:hAnsi="Times New Roman" w:cs="Times New Roman"/>
          <w:b/>
          <w:sz w:val="24"/>
          <w:szCs w:val="24"/>
        </w:rPr>
        <w:t>primitke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čine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prihodi</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iz</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državnog</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proračuna</w:t>
      </w:r>
      <w:proofErr w:type="spellEnd"/>
      <w:r w:rsidRPr="003F3193">
        <w:rPr>
          <w:rFonts w:ascii="Times New Roman" w:hAnsi="Times New Roman" w:cs="Times New Roman"/>
          <w:sz w:val="24"/>
          <w:szCs w:val="24"/>
        </w:rPr>
        <w:t xml:space="preserve"> za </w:t>
      </w:r>
      <w:proofErr w:type="spellStart"/>
      <w:r w:rsidRPr="003F3193">
        <w:rPr>
          <w:rFonts w:ascii="Times New Roman" w:hAnsi="Times New Roman" w:cs="Times New Roman"/>
          <w:sz w:val="24"/>
          <w:szCs w:val="24"/>
        </w:rPr>
        <w:t>financiranje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redovne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djelatnosti</w:t>
      </w:r>
      <w:proofErr w:type="spellEnd"/>
      <w:r w:rsidRPr="003F3193">
        <w:rPr>
          <w:rFonts w:ascii="Times New Roman" w:hAnsi="Times New Roman" w:cs="Times New Roman"/>
          <w:sz w:val="24"/>
          <w:szCs w:val="24"/>
        </w:rPr>
        <w:t xml:space="preserve"> - </w:t>
      </w:r>
      <w:proofErr w:type="spellStart"/>
      <w:r w:rsidRPr="003F3193">
        <w:rPr>
          <w:rFonts w:ascii="Times New Roman" w:hAnsi="Times New Roman" w:cs="Times New Roman"/>
          <w:sz w:val="24"/>
          <w:szCs w:val="24"/>
        </w:rPr>
        <w:t>skupina</w:t>
      </w:r>
      <w:proofErr w:type="spellEnd"/>
      <w:r w:rsidRPr="003F3193">
        <w:rPr>
          <w:rFonts w:ascii="Times New Roman" w:hAnsi="Times New Roman" w:cs="Times New Roman"/>
          <w:sz w:val="24"/>
          <w:szCs w:val="24"/>
        </w:rPr>
        <w:t xml:space="preserve"> 671. </w:t>
      </w:r>
    </w:p>
    <w:p w:rsidR="003F3193" w:rsidRPr="003F3193" w:rsidRDefault="003F3193" w:rsidP="003F3193">
      <w:pPr>
        <w:pStyle w:val="HTMLPreformatted"/>
        <w:shd w:val="clear" w:color="auto" w:fill="FFFFFF"/>
        <w:jc w:val="both"/>
        <w:rPr>
          <w:rFonts w:ascii="Times New Roman" w:hAnsi="Times New Roman" w:cs="Times New Roman"/>
          <w:sz w:val="24"/>
          <w:szCs w:val="24"/>
        </w:rPr>
      </w:pPr>
      <w:r w:rsidRPr="003F3193">
        <w:rPr>
          <w:rFonts w:ascii="Times New Roman" w:hAnsi="Times New Roman" w:cs="Times New Roman"/>
          <w:sz w:val="24"/>
          <w:szCs w:val="24"/>
        </w:rPr>
        <w:t xml:space="preserve">Ova </w:t>
      </w:r>
      <w:proofErr w:type="spellStart"/>
      <w:r w:rsidRPr="003F3193">
        <w:rPr>
          <w:rFonts w:ascii="Times New Roman" w:hAnsi="Times New Roman" w:cs="Times New Roman"/>
          <w:sz w:val="24"/>
          <w:szCs w:val="24"/>
        </w:rPr>
        <w:t>sredstva</w:t>
      </w:r>
      <w:proofErr w:type="spellEnd"/>
      <w:r w:rsidRPr="003F3193">
        <w:rPr>
          <w:rFonts w:ascii="Times New Roman" w:hAnsi="Times New Roman" w:cs="Times New Roman"/>
          <w:sz w:val="24"/>
          <w:szCs w:val="24"/>
        </w:rPr>
        <w:t xml:space="preserve"> se </w:t>
      </w:r>
      <w:proofErr w:type="spellStart"/>
      <w:r w:rsidRPr="003F3193">
        <w:rPr>
          <w:rFonts w:ascii="Times New Roman" w:hAnsi="Times New Roman" w:cs="Times New Roman"/>
          <w:sz w:val="24"/>
          <w:szCs w:val="24"/>
        </w:rPr>
        <w:t>odnose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na</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redovnu</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djelatnost</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uključujući</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plaće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sa</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prijevozom</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temeljno</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financiranje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nastavne</w:t>
      </w:r>
      <w:proofErr w:type="spellEnd"/>
      <w:r w:rsidRPr="003F3193">
        <w:rPr>
          <w:rFonts w:ascii="Times New Roman" w:hAnsi="Times New Roman" w:cs="Times New Roman"/>
          <w:sz w:val="24"/>
          <w:szCs w:val="24"/>
        </w:rPr>
        <w:t xml:space="preserve"> </w:t>
      </w:r>
      <w:proofErr w:type="spellStart"/>
      <w:proofErr w:type="gramStart"/>
      <w:r w:rsidRPr="003F3193">
        <w:rPr>
          <w:rFonts w:ascii="Times New Roman" w:hAnsi="Times New Roman" w:cs="Times New Roman"/>
          <w:sz w:val="24"/>
          <w:szCs w:val="24"/>
        </w:rPr>
        <w:t>djelatnosti</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temeljno</w:t>
      </w:r>
      <w:proofErr w:type="spellEnd"/>
      <w:proofErr w:type="gram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financiranje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znanstvene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djelatnosti</w:t>
      </w:r>
      <w:proofErr w:type="spellEnd"/>
      <w:r w:rsidR="000D491F">
        <w:rPr>
          <w:rFonts w:ascii="Times New Roman" w:hAnsi="Times New Roman" w:cs="Times New Roman"/>
          <w:sz w:val="24"/>
          <w:szCs w:val="24"/>
        </w:rPr>
        <w:t>.</w:t>
      </w:r>
    </w:p>
    <w:p w:rsidR="002F01FA" w:rsidRDefault="0090661F" w:rsidP="00FD5AEE">
      <w:pPr>
        <w:jc w:val="both"/>
        <w:rPr>
          <w:rFonts w:ascii="Times New Roman" w:hAnsi="Times New Roman" w:cs="Times New Roman"/>
          <w:sz w:val="24"/>
          <w:szCs w:val="24"/>
        </w:rPr>
      </w:pPr>
      <w:r w:rsidRPr="003F3193">
        <w:rPr>
          <w:rFonts w:ascii="Times New Roman" w:hAnsi="Times New Roman" w:cs="Times New Roman"/>
          <w:sz w:val="24"/>
          <w:szCs w:val="24"/>
        </w:rPr>
        <w:t xml:space="preserve">Prihodi </w:t>
      </w:r>
      <w:r w:rsidR="002F01FA" w:rsidRPr="003F3193">
        <w:rPr>
          <w:rFonts w:ascii="Times New Roman" w:hAnsi="Times New Roman" w:cs="Times New Roman"/>
          <w:sz w:val="24"/>
          <w:szCs w:val="24"/>
        </w:rPr>
        <w:t xml:space="preserve">iz izvora 11 </w:t>
      </w:r>
      <w:r w:rsidRPr="003F3193">
        <w:rPr>
          <w:rFonts w:ascii="Times New Roman" w:hAnsi="Times New Roman" w:cs="Times New Roman"/>
          <w:sz w:val="24"/>
          <w:szCs w:val="24"/>
        </w:rPr>
        <w:t xml:space="preserve">su </w:t>
      </w:r>
      <w:r w:rsidR="002F01FA" w:rsidRPr="003F3193">
        <w:rPr>
          <w:rFonts w:ascii="Times New Roman" w:hAnsi="Times New Roman" w:cs="Times New Roman"/>
          <w:sz w:val="24"/>
          <w:szCs w:val="24"/>
        </w:rPr>
        <w:t>ostvaren</w:t>
      </w:r>
      <w:r w:rsidR="003F3193" w:rsidRPr="003F3193">
        <w:rPr>
          <w:rFonts w:ascii="Times New Roman" w:hAnsi="Times New Roman" w:cs="Times New Roman"/>
          <w:sz w:val="24"/>
          <w:szCs w:val="24"/>
        </w:rPr>
        <w:t>i</w:t>
      </w:r>
      <w:r w:rsidR="002F01FA" w:rsidRPr="003F3193">
        <w:rPr>
          <w:rFonts w:ascii="Times New Roman" w:hAnsi="Times New Roman" w:cs="Times New Roman"/>
          <w:sz w:val="24"/>
          <w:szCs w:val="24"/>
        </w:rPr>
        <w:t xml:space="preserve"> </w:t>
      </w:r>
      <w:r w:rsidRPr="003F3193">
        <w:rPr>
          <w:rFonts w:ascii="Times New Roman" w:hAnsi="Times New Roman" w:cs="Times New Roman"/>
          <w:sz w:val="24"/>
          <w:szCs w:val="24"/>
        </w:rPr>
        <w:t xml:space="preserve"> u visini </w:t>
      </w:r>
      <w:r w:rsidR="00F01CFD" w:rsidRPr="003F3193">
        <w:rPr>
          <w:rFonts w:ascii="Times New Roman" w:hAnsi="Times New Roman" w:cs="Times New Roman"/>
          <w:sz w:val="24"/>
          <w:szCs w:val="24"/>
        </w:rPr>
        <w:t>99,33</w:t>
      </w:r>
      <w:r w:rsidR="002F01FA" w:rsidRPr="003F3193">
        <w:rPr>
          <w:rFonts w:ascii="Times New Roman" w:hAnsi="Times New Roman" w:cs="Times New Roman"/>
          <w:sz w:val="24"/>
          <w:szCs w:val="24"/>
        </w:rPr>
        <w:t>% od plan</w:t>
      </w:r>
      <w:r w:rsidRPr="003F3193">
        <w:rPr>
          <w:rFonts w:ascii="Times New Roman" w:hAnsi="Times New Roman" w:cs="Times New Roman"/>
          <w:sz w:val="24"/>
          <w:szCs w:val="24"/>
        </w:rPr>
        <w:t>iranog iznosa</w:t>
      </w:r>
      <w:r w:rsidR="002F01FA" w:rsidRPr="003F3193">
        <w:rPr>
          <w:rFonts w:ascii="Times New Roman" w:hAnsi="Times New Roman" w:cs="Times New Roman"/>
          <w:sz w:val="24"/>
          <w:szCs w:val="24"/>
        </w:rPr>
        <w:t xml:space="preserve">, te </w:t>
      </w:r>
      <w:r w:rsidR="00F01CFD" w:rsidRPr="003F3193">
        <w:rPr>
          <w:rFonts w:ascii="Times New Roman" w:hAnsi="Times New Roman" w:cs="Times New Roman"/>
          <w:sz w:val="24"/>
          <w:szCs w:val="24"/>
        </w:rPr>
        <w:t>108,77</w:t>
      </w:r>
      <w:r w:rsidR="002F01FA" w:rsidRPr="003F3193">
        <w:rPr>
          <w:rFonts w:ascii="Times New Roman" w:hAnsi="Times New Roman" w:cs="Times New Roman"/>
          <w:sz w:val="24"/>
          <w:szCs w:val="24"/>
        </w:rPr>
        <w:t>% od prošlogodišnjeg izvršenja.</w:t>
      </w:r>
      <w:r w:rsidRPr="003F3193">
        <w:rPr>
          <w:rFonts w:ascii="Times New Roman" w:hAnsi="Times New Roman" w:cs="Times New Roman"/>
          <w:sz w:val="24"/>
          <w:szCs w:val="24"/>
        </w:rPr>
        <w:t xml:space="preserve"> Navedeno je definirano visinom sredstava primljenih iz državnog</w:t>
      </w:r>
      <w:r>
        <w:rPr>
          <w:rFonts w:ascii="Times New Roman" w:hAnsi="Times New Roman" w:cs="Times New Roman"/>
          <w:sz w:val="24"/>
          <w:szCs w:val="24"/>
        </w:rPr>
        <w:t xml:space="preserve"> proračuna.</w:t>
      </w:r>
    </w:p>
    <w:p w:rsidR="003F3193" w:rsidRPr="003F3193" w:rsidRDefault="003F3193" w:rsidP="003F3193">
      <w:pPr>
        <w:pStyle w:val="HTMLPreformatted"/>
        <w:shd w:val="clear" w:color="auto" w:fill="FFFFFF"/>
        <w:jc w:val="both"/>
        <w:rPr>
          <w:rFonts w:ascii="Times New Roman" w:hAnsi="Times New Roman" w:cs="Times New Roman"/>
          <w:sz w:val="24"/>
          <w:szCs w:val="24"/>
        </w:rPr>
      </w:pPr>
      <w:r w:rsidRPr="003F3193">
        <w:rPr>
          <w:rFonts w:ascii="Times New Roman" w:hAnsi="Times New Roman" w:cs="Times New Roman"/>
          <w:b/>
          <w:sz w:val="24"/>
          <w:szCs w:val="24"/>
        </w:rPr>
        <w:t xml:space="preserve">12 </w:t>
      </w:r>
      <w:proofErr w:type="spellStart"/>
      <w:r w:rsidRPr="003F3193">
        <w:rPr>
          <w:rFonts w:ascii="Times New Roman" w:hAnsi="Times New Roman" w:cs="Times New Roman"/>
          <w:b/>
          <w:sz w:val="24"/>
          <w:szCs w:val="24"/>
        </w:rPr>
        <w:t>Sredstva</w:t>
      </w:r>
      <w:proofErr w:type="spellEnd"/>
      <w:r w:rsidRPr="003F3193">
        <w:rPr>
          <w:rFonts w:ascii="Times New Roman" w:hAnsi="Times New Roman" w:cs="Times New Roman"/>
          <w:b/>
          <w:sz w:val="24"/>
          <w:szCs w:val="24"/>
        </w:rPr>
        <w:t xml:space="preserve"> </w:t>
      </w:r>
      <w:proofErr w:type="spellStart"/>
      <w:r w:rsidRPr="003F3193">
        <w:rPr>
          <w:rFonts w:ascii="Times New Roman" w:hAnsi="Times New Roman" w:cs="Times New Roman"/>
          <w:b/>
          <w:sz w:val="24"/>
          <w:szCs w:val="24"/>
        </w:rPr>
        <w:t>učešća</w:t>
      </w:r>
      <w:proofErr w:type="spellEnd"/>
      <w:r w:rsidRPr="003F3193">
        <w:rPr>
          <w:rFonts w:ascii="Times New Roman" w:hAnsi="Times New Roman" w:cs="Times New Roman"/>
          <w:b/>
          <w:sz w:val="24"/>
          <w:szCs w:val="24"/>
        </w:rPr>
        <w:t xml:space="preserve"> za </w:t>
      </w:r>
      <w:proofErr w:type="spellStart"/>
      <w:r w:rsidRPr="003F3193">
        <w:rPr>
          <w:rFonts w:ascii="Times New Roman" w:hAnsi="Times New Roman" w:cs="Times New Roman"/>
          <w:b/>
          <w:sz w:val="24"/>
          <w:szCs w:val="24"/>
        </w:rPr>
        <w:t>pomoći</w:t>
      </w:r>
      <w:proofErr w:type="spellEnd"/>
      <w:r w:rsidRPr="003F3193">
        <w:rPr>
          <w:rFonts w:ascii="Times New Roman" w:hAnsi="Times New Roman" w:cs="Times New Roman"/>
          <w:b/>
          <w:sz w:val="24"/>
          <w:szCs w:val="24"/>
        </w:rPr>
        <w:t xml:space="preserve"> (</w:t>
      </w:r>
      <w:proofErr w:type="spellStart"/>
      <w:r w:rsidRPr="003F3193">
        <w:rPr>
          <w:rFonts w:ascii="Times New Roman" w:hAnsi="Times New Roman" w:cs="Times New Roman"/>
          <w:sz w:val="24"/>
          <w:szCs w:val="24"/>
        </w:rPr>
        <w:t>učešće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državnog</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proračuna</w:t>
      </w:r>
      <w:proofErr w:type="spellEnd"/>
      <w:r w:rsidRPr="003F3193">
        <w:rPr>
          <w:rFonts w:ascii="Times New Roman" w:hAnsi="Times New Roman" w:cs="Times New Roman"/>
          <w:sz w:val="24"/>
          <w:szCs w:val="24"/>
        </w:rPr>
        <w:t xml:space="preserve"> u EU </w:t>
      </w:r>
      <w:proofErr w:type="spellStart"/>
      <w:r w:rsidRPr="003F3193">
        <w:rPr>
          <w:rFonts w:ascii="Times New Roman" w:hAnsi="Times New Roman" w:cs="Times New Roman"/>
          <w:sz w:val="24"/>
          <w:szCs w:val="24"/>
        </w:rPr>
        <w:t>projektima</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odnose</w:t>
      </w:r>
      <w:proofErr w:type="spellEnd"/>
      <w:r w:rsidRPr="003F3193">
        <w:rPr>
          <w:rFonts w:ascii="Times New Roman" w:hAnsi="Times New Roman" w:cs="Times New Roman"/>
          <w:sz w:val="24"/>
          <w:szCs w:val="24"/>
        </w:rPr>
        <w:t xml:space="preserve"> se </w:t>
      </w:r>
      <w:proofErr w:type="spellStart"/>
      <w:r w:rsidRPr="003F3193">
        <w:rPr>
          <w:rFonts w:ascii="Times New Roman" w:hAnsi="Times New Roman" w:cs="Times New Roman"/>
          <w:sz w:val="24"/>
          <w:szCs w:val="24"/>
        </w:rPr>
        <w:t>na</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projekte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iz</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Europskog</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socijalnog</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fonda</w:t>
      </w:r>
      <w:proofErr w:type="spellEnd"/>
      <w:r w:rsidRPr="003F3193">
        <w:rPr>
          <w:rFonts w:ascii="Times New Roman" w:hAnsi="Times New Roman" w:cs="Times New Roman"/>
          <w:sz w:val="24"/>
          <w:szCs w:val="24"/>
        </w:rPr>
        <w:t xml:space="preserve"> za </w:t>
      </w:r>
      <w:proofErr w:type="spellStart"/>
      <w:r w:rsidRPr="003F3193">
        <w:rPr>
          <w:rFonts w:ascii="Times New Roman" w:hAnsi="Times New Roman" w:cs="Times New Roman"/>
          <w:sz w:val="24"/>
          <w:szCs w:val="24"/>
        </w:rPr>
        <w:t>koje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učešće</w:t>
      </w:r>
      <w:proofErr w:type="spellEnd"/>
      <w:r w:rsidRPr="003F3193">
        <w:rPr>
          <w:rFonts w:ascii="Times New Roman" w:hAnsi="Times New Roman" w:cs="Times New Roman"/>
          <w:sz w:val="24"/>
          <w:szCs w:val="24"/>
        </w:rPr>
        <w:t xml:space="preserve"> u </w:t>
      </w:r>
      <w:proofErr w:type="spellStart"/>
      <w:r w:rsidRPr="003F3193">
        <w:rPr>
          <w:rFonts w:ascii="Times New Roman" w:hAnsi="Times New Roman" w:cs="Times New Roman"/>
          <w:sz w:val="24"/>
          <w:szCs w:val="24"/>
        </w:rPr>
        <w:t>visini</w:t>
      </w:r>
      <w:proofErr w:type="spellEnd"/>
      <w:r w:rsidRPr="003F3193">
        <w:rPr>
          <w:rFonts w:ascii="Times New Roman" w:hAnsi="Times New Roman" w:cs="Times New Roman"/>
          <w:sz w:val="24"/>
          <w:szCs w:val="24"/>
        </w:rPr>
        <w:t xml:space="preserve"> 15% </w:t>
      </w:r>
      <w:proofErr w:type="spellStart"/>
      <w:r w:rsidRPr="003F3193">
        <w:rPr>
          <w:rFonts w:ascii="Times New Roman" w:hAnsi="Times New Roman" w:cs="Times New Roman"/>
          <w:sz w:val="24"/>
          <w:szCs w:val="24"/>
        </w:rPr>
        <w:t>osigurava</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Državni</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proračun</w:t>
      </w:r>
      <w:proofErr w:type="spellEnd"/>
      <w:r w:rsidRPr="003F3193">
        <w:rPr>
          <w:rFonts w:ascii="Times New Roman" w:hAnsi="Times New Roman" w:cs="Times New Roman"/>
          <w:sz w:val="24"/>
          <w:szCs w:val="24"/>
        </w:rPr>
        <w:t>.</w:t>
      </w:r>
    </w:p>
    <w:p w:rsidR="003F3193" w:rsidRPr="003F3193" w:rsidRDefault="003F3193" w:rsidP="003F3193">
      <w:pPr>
        <w:pStyle w:val="HTMLPreformatted"/>
        <w:shd w:val="clear" w:color="auto" w:fill="FFFFFF"/>
        <w:jc w:val="both"/>
        <w:rPr>
          <w:rFonts w:ascii="Times New Roman" w:hAnsi="Times New Roman" w:cs="Times New Roman"/>
          <w:sz w:val="24"/>
          <w:szCs w:val="24"/>
        </w:rPr>
      </w:pPr>
      <w:r w:rsidRPr="003F3193">
        <w:rPr>
          <w:rFonts w:ascii="Times New Roman" w:hAnsi="Times New Roman" w:cs="Times New Roman"/>
          <w:sz w:val="24"/>
          <w:szCs w:val="24"/>
        </w:rPr>
        <w:t xml:space="preserve">Ova </w:t>
      </w:r>
      <w:proofErr w:type="spellStart"/>
      <w:r w:rsidRPr="003F3193">
        <w:rPr>
          <w:rFonts w:ascii="Times New Roman" w:hAnsi="Times New Roman" w:cs="Times New Roman"/>
          <w:sz w:val="24"/>
          <w:szCs w:val="24"/>
        </w:rPr>
        <w:t>sredstva</w:t>
      </w:r>
      <w:proofErr w:type="spellEnd"/>
      <w:r w:rsidRPr="003F3193">
        <w:rPr>
          <w:rFonts w:ascii="Times New Roman" w:hAnsi="Times New Roman" w:cs="Times New Roman"/>
          <w:sz w:val="24"/>
          <w:szCs w:val="24"/>
        </w:rPr>
        <w:t xml:space="preserve"> se </w:t>
      </w:r>
      <w:proofErr w:type="spellStart"/>
      <w:r w:rsidRPr="003F3193">
        <w:rPr>
          <w:rFonts w:ascii="Times New Roman" w:hAnsi="Times New Roman" w:cs="Times New Roman"/>
          <w:sz w:val="24"/>
          <w:szCs w:val="24"/>
        </w:rPr>
        <w:t>odnose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na</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učešće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Državnog</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proračuna</w:t>
      </w:r>
      <w:proofErr w:type="spellEnd"/>
      <w:r w:rsidRPr="003F3193">
        <w:rPr>
          <w:rFonts w:ascii="Times New Roman" w:hAnsi="Times New Roman" w:cs="Times New Roman"/>
          <w:sz w:val="24"/>
          <w:szCs w:val="24"/>
        </w:rPr>
        <w:t xml:space="preserve"> u </w:t>
      </w:r>
      <w:proofErr w:type="spellStart"/>
      <w:r w:rsidRPr="003F3193">
        <w:rPr>
          <w:rFonts w:ascii="Times New Roman" w:hAnsi="Times New Roman" w:cs="Times New Roman"/>
          <w:sz w:val="24"/>
          <w:szCs w:val="24"/>
        </w:rPr>
        <w:t>visini</w:t>
      </w:r>
      <w:proofErr w:type="spellEnd"/>
      <w:r w:rsidRPr="003F3193">
        <w:rPr>
          <w:rFonts w:ascii="Times New Roman" w:hAnsi="Times New Roman" w:cs="Times New Roman"/>
          <w:sz w:val="24"/>
          <w:szCs w:val="24"/>
        </w:rPr>
        <w:t xml:space="preserve">  15% u </w:t>
      </w:r>
      <w:proofErr w:type="spellStart"/>
      <w:r w:rsidRPr="003F3193">
        <w:rPr>
          <w:rFonts w:ascii="Times New Roman" w:hAnsi="Times New Roman" w:cs="Times New Roman"/>
          <w:sz w:val="24"/>
          <w:szCs w:val="24"/>
        </w:rPr>
        <w:t>rashodima</w:t>
      </w:r>
      <w:proofErr w:type="spellEnd"/>
      <w:r w:rsidRPr="003F3193">
        <w:rPr>
          <w:rFonts w:ascii="Times New Roman" w:hAnsi="Times New Roman" w:cs="Times New Roman"/>
          <w:sz w:val="24"/>
          <w:szCs w:val="24"/>
        </w:rPr>
        <w:t xml:space="preserve"> EU </w:t>
      </w:r>
      <w:proofErr w:type="spellStart"/>
      <w:r w:rsidRPr="003F3193">
        <w:rPr>
          <w:rFonts w:ascii="Times New Roman" w:hAnsi="Times New Roman" w:cs="Times New Roman"/>
          <w:sz w:val="24"/>
          <w:szCs w:val="24"/>
        </w:rPr>
        <w:t>projekta</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Stručna</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praksa</w:t>
      </w:r>
      <w:proofErr w:type="spellEnd"/>
      <w:r w:rsidRPr="003F3193">
        <w:rPr>
          <w:rFonts w:ascii="Times New Roman" w:hAnsi="Times New Roman" w:cs="Times New Roman"/>
          <w:sz w:val="24"/>
          <w:szCs w:val="24"/>
        </w:rPr>
        <w:t>”.</w:t>
      </w:r>
    </w:p>
    <w:p w:rsidR="003F3193" w:rsidRPr="003F3193" w:rsidRDefault="003F3193" w:rsidP="003F3193">
      <w:pPr>
        <w:pStyle w:val="HTMLPreformatted"/>
        <w:shd w:val="clear" w:color="auto" w:fill="FFFFFF"/>
        <w:jc w:val="both"/>
        <w:rPr>
          <w:rFonts w:ascii="Times New Roman" w:hAnsi="Times New Roman" w:cs="Times New Roman"/>
          <w:sz w:val="24"/>
          <w:szCs w:val="24"/>
        </w:rPr>
      </w:pPr>
      <w:proofErr w:type="spellStart"/>
      <w:r w:rsidRPr="003F3193">
        <w:rPr>
          <w:rFonts w:ascii="Times New Roman" w:hAnsi="Times New Roman" w:cs="Times New Roman"/>
          <w:sz w:val="24"/>
          <w:szCs w:val="24"/>
        </w:rPr>
        <w:t>Projekt</w:t>
      </w:r>
      <w:proofErr w:type="spellEnd"/>
      <w:r w:rsidRPr="003F3193">
        <w:rPr>
          <w:rFonts w:ascii="Times New Roman" w:hAnsi="Times New Roman" w:cs="Times New Roman"/>
          <w:sz w:val="24"/>
          <w:szCs w:val="24"/>
        </w:rPr>
        <w:t xml:space="preserve"> je </w:t>
      </w:r>
      <w:proofErr w:type="spellStart"/>
      <w:r w:rsidRPr="003F3193">
        <w:rPr>
          <w:rFonts w:ascii="Times New Roman" w:hAnsi="Times New Roman" w:cs="Times New Roman"/>
          <w:sz w:val="24"/>
          <w:szCs w:val="24"/>
        </w:rPr>
        <w:t>završio</w:t>
      </w:r>
      <w:proofErr w:type="spellEnd"/>
      <w:r w:rsidRPr="003F3193">
        <w:rPr>
          <w:rFonts w:ascii="Times New Roman" w:hAnsi="Times New Roman" w:cs="Times New Roman"/>
          <w:sz w:val="24"/>
          <w:szCs w:val="24"/>
        </w:rPr>
        <w:t xml:space="preserve"> u 2023. </w:t>
      </w:r>
      <w:proofErr w:type="spellStart"/>
      <w:r w:rsidR="000D491F">
        <w:rPr>
          <w:rFonts w:ascii="Times New Roman" w:hAnsi="Times New Roman" w:cs="Times New Roman"/>
          <w:sz w:val="24"/>
          <w:szCs w:val="24"/>
        </w:rPr>
        <w:t>g</w:t>
      </w:r>
      <w:r w:rsidRPr="003F3193">
        <w:rPr>
          <w:rFonts w:ascii="Times New Roman" w:hAnsi="Times New Roman" w:cs="Times New Roman"/>
          <w:sz w:val="24"/>
          <w:szCs w:val="24"/>
        </w:rPr>
        <w:t>odini</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te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su</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prihodi</w:t>
      </w:r>
      <w:proofErr w:type="spellEnd"/>
      <w:r w:rsidRPr="003F3193">
        <w:rPr>
          <w:rFonts w:ascii="Times New Roman" w:hAnsi="Times New Roman" w:cs="Times New Roman"/>
          <w:sz w:val="24"/>
          <w:szCs w:val="24"/>
        </w:rPr>
        <w:t xml:space="preserve"> </w:t>
      </w:r>
      <w:proofErr w:type="spellStart"/>
      <w:proofErr w:type="gramStart"/>
      <w:r w:rsidRPr="003F3193">
        <w:rPr>
          <w:rFonts w:ascii="Times New Roman" w:hAnsi="Times New Roman" w:cs="Times New Roman"/>
          <w:sz w:val="24"/>
          <w:szCs w:val="24"/>
        </w:rPr>
        <w:t>iz</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ovog</w:t>
      </w:r>
      <w:proofErr w:type="spellEnd"/>
      <w:proofErr w:type="gram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izvora</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realizirani</w:t>
      </w:r>
      <w:proofErr w:type="spellEnd"/>
      <w:r w:rsidRPr="003F3193">
        <w:rPr>
          <w:rFonts w:ascii="Times New Roman" w:hAnsi="Times New Roman" w:cs="Times New Roman"/>
          <w:sz w:val="24"/>
          <w:szCs w:val="24"/>
        </w:rPr>
        <w:t xml:space="preserve"> u </w:t>
      </w:r>
      <w:proofErr w:type="spellStart"/>
      <w:r w:rsidRPr="003F3193">
        <w:rPr>
          <w:rFonts w:ascii="Times New Roman" w:hAnsi="Times New Roman" w:cs="Times New Roman"/>
          <w:sz w:val="24"/>
          <w:szCs w:val="24"/>
        </w:rPr>
        <w:t>visini</w:t>
      </w:r>
      <w:proofErr w:type="spellEnd"/>
      <w:r w:rsidRPr="003F3193">
        <w:rPr>
          <w:rFonts w:ascii="Times New Roman" w:hAnsi="Times New Roman" w:cs="Times New Roman"/>
          <w:sz w:val="24"/>
          <w:szCs w:val="24"/>
        </w:rPr>
        <w:t xml:space="preserve"> 100% u </w:t>
      </w:r>
      <w:proofErr w:type="spellStart"/>
      <w:r w:rsidRPr="003F3193">
        <w:rPr>
          <w:rFonts w:ascii="Times New Roman" w:hAnsi="Times New Roman" w:cs="Times New Roman"/>
          <w:sz w:val="24"/>
          <w:szCs w:val="24"/>
        </w:rPr>
        <w:t>odnosu</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na</w:t>
      </w:r>
      <w:proofErr w:type="spellEnd"/>
      <w:r w:rsidRPr="003F3193">
        <w:rPr>
          <w:rFonts w:ascii="Times New Roman" w:hAnsi="Times New Roman" w:cs="Times New Roman"/>
          <w:sz w:val="24"/>
          <w:szCs w:val="24"/>
        </w:rPr>
        <w:t xml:space="preserve"> plan, </w:t>
      </w:r>
      <w:proofErr w:type="spellStart"/>
      <w:r w:rsidRPr="003F3193">
        <w:rPr>
          <w:rFonts w:ascii="Times New Roman" w:hAnsi="Times New Roman" w:cs="Times New Roman"/>
          <w:sz w:val="24"/>
          <w:szCs w:val="24"/>
        </w:rPr>
        <w:t>te</w:t>
      </w:r>
      <w:proofErr w:type="spellEnd"/>
      <w:r w:rsidRPr="003F3193">
        <w:rPr>
          <w:rFonts w:ascii="Times New Roman" w:hAnsi="Times New Roman" w:cs="Times New Roman"/>
          <w:sz w:val="24"/>
          <w:szCs w:val="24"/>
        </w:rPr>
        <w:t xml:space="preserve"> 16,90% u </w:t>
      </w:r>
      <w:proofErr w:type="spellStart"/>
      <w:r w:rsidRPr="003F3193">
        <w:rPr>
          <w:rFonts w:ascii="Times New Roman" w:hAnsi="Times New Roman" w:cs="Times New Roman"/>
          <w:sz w:val="24"/>
          <w:szCs w:val="24"/>
        </w:rPr>
        <w:t>odnosu</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na</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realizaciju</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prethodne</w:t>
      </w:r>
      <w:proofErr w:type="spellEnd"/>
      <w:r w:rsidRPr="003F3193">
        <w:rPr>
          <w:rFonts w:ascii="Times New Roman" w:hAnsi="Times New Roman" w:cs="Times New Roman"/>
          <w:sz w:val="24"/>
          <w:szCs w:val="24"/>
        </w:rPr>
        <w:t xml:space="preserve"> </w:t>
      </w:r>
      <w:proofErr w:type="spellStart"/>
      <w:r w:rsidRPr="003F3193">
        <w:rPr>
          <w:rFonts w:ascii="Times New Roman" w:hAnsi="Times New Roman" w:cs="Times New Roman"/>
          <w:sz w:val="24"/>
          <w:szCs w:val="24"/>
        </w:rPr>
        <w:t>godine</w:t>
      </w:r>
      <w:proofErr w:type="spellEnd"/>
      <w:r w:rsidRPr="003F3193">
        <w:rPr>
          <w:rFonts w:ascii="Times New Roman" w:hAnsi="Times New Roman" w:cs="Times New Roman"/>
          <w:sz w:val="24"/>
          <w:szCs w:val="24"/>
        </w:rPr>
        <w:t>.</w:t>
      </w:r>
    </w:p>
    <w:p w:rsidR="006F3737" w:rsidRDefault="006F3737" w:rsidP="00B449A0">
      <w:pPr>
        <w:spacing w:after="0"/>
        <w:ind w:right="14"/>
        <w:jc w:val="both"/>
        <w:rPr>
          <w:rFonts w:ascii="Times New Roman" w:hAnsi="Times New Roman" w:cs="Times New Roman"/>
          <w:b/>
          <w:sz w:val="24"/>
          <w:szCs w:val="24"/>
        </w:rPr>
      </w:pPr>
    </w:p>
    <w:p w:rsidR="00B449A0" w:rsidRPr="00B449A0" w:rsidRDefault="00B449A0" w:rsidP="00B449A0">
      <w:pPr>
        <w:spacing w:after="0"/>
        <w:ind w:right="14"/>
        <w:jc w:val="both"/>
        <w:rPr>
          <w:rFonts w:ascii="Times New Roman" w:hAnsi="Times New Roman" w:cs="Times New Roman"/>
          <w:sz w:val="24"/>
          <w:szCs w:val="24"/>
        </w:rPr>
      </w:pPr>
      <w:r w:rsidRPr="00B449A0">
        <w:rPr>
          <w:rFonts w:ascii="Times New Roman" w:hAnsi="Times New Roman" w:cs="Times New Roman"/>
          <w:b/>
          <w:sz w:val="24"/>
          <w:szCs w:val="24"/>
        </w:rPr>
        <w:t>31 Vlastite prihode</w:t>
      </w:r>
      <w:r w:rsidRPr="00B449A0">
        <w:rPr>
          <w:rFonts w:ascii="Times New Roman" w:hAnsi="Times New Roman" w:cs="Times New Roman"/>
          <w:sz w:val="24"/>
          <w:szCs w:val="24"/>
        </w:rPr>
        <w:t xml:space="preserve">, skupina 661, čine prihodi ostvareni obavljanjem poslova na tržištu i u tržišnim uvjetima, (tečajevi trajne medicinske izobrazbe, dijagnostički postupci, izbori u znanstveno - nastavna zvanja, sudska medicinska vještačenja, konzultantske usluge te </w:t>
      </w:r>
    </w:p>
    <w:p w:rsidR="00B449A0" w:rsidRPr="00B449A0" w:rsidRDefault="00B449A0" w:rsidP="00B449A0">
      <w:pPr>
        <w:spacing w:after="0"/>
        <w:ind w:right="14"/>
        <w:jc w:val="both"/>
        <w:rPr>
          <w:rFonts w:ascii="Times New Roman" w:hAnsi="Times New Roman" w:cs="Times New Roman"/>
          <w:sz w:val="24"/>
          <w:szCs w:val="24"/>
        </w:rPr>
      </w:pPr>
      <w:r w:rsidRPr="00B449A0">
        <w:rPr>
          <w:rFonts w:ascii="Times New Roman" w:hAnsi="Times New Roman" w:cs="Times New Roman"/>
          <w:sz w:val="24"/>
          <w:szCs w:val="24"/>
        </w:rPr>
        <w:t>iznajmljivanje prostora). Ovdje su uključeni i vlastiti projekti za tržište.</w:t>
      </w:r>
    </w:p>
    <w:p w:rsidR="00B449A0" w:rsidRPr="00B449A0" w:rsidRDefault="00B449A0" w:rsidP="00B449A0">
      <w:pPr>
        <w:spacing w:after="0"/>
        <w:ind w:right="14"/>
        <w:jc w:val="both"/>
        <w:rPr>
          <w:rFonts w:ascii="Times New Roman" w:hAnsi="Times New Roman" w:cs="Times New Roman"/>
          <w:sz w:val="24"/>
          <w:szCs w:val="24"/>
        </w:rPr>
      </w:pPr>
    </w:p>
    <w:p w:rsidR="00B449A0" w:rsidRDefault="00B449A0" w:rsidP="00B449A0">
      <w:pPr>
        <w:spacing w:after="315"/>
        <w:ind w:right="14"/>
        <w:jc w:val="both"/>
        <w:rPr>
          <w:rFonts w:ascii="Times New Roman" w:hAnsi="Times New Roman" w:cs="Times New Roman"/>
          <w:sz w:val="24"/>
          <w:szCs w:val="24"/>
        </w:rPr>
      </w:pPr>
      <w:r w:rsidRPr="00B449A0">
        <w:rPr>
          <w:rFonts w:ascii="Times New Roman" w:hAnsi="Times New Roman" w:cs="Times New Roman"/>
          <w:sz w:val="24"/>
          <w:szCs w:val="24"/>
        </w:rPr>
        <w:t xml:space="preserve">Prihodi iz izvora 31 su ostvareni u visini 45,53% uz odnosu na planirane, te 45,95% u odnosu na realizaciju iz prethodne godine. Na niži postotak  realizacije planova je u velikoj mjeri utjecalo to što nije došlo do realizacije projekta za tržište sa tvrtkom Roche, te su  sredstva primljena kao početni predujam za taj projekt u veljači 2024. godine vraćena tvrtki Roche. </w:t>
      </w:r>
    </w:p>
    <w:p w:rsidR="00E15DF0" w:rsidRPr="000A0D17" w:rsidRDefault="00E15DF0" w:rsidP="006F3737">
      <w:pPr>
        <w:spacing w:after="0" w:line="240" w:lineRule="auto"/>
        <w:ind w:left="38" w:right="14"/>
        <w:jc w:val="both"/>
        <w:rPr>
          <w:rFonts w:ascii="Times New Roman" w:hAnsi="Times New Roman" w:cs="Times New Roman"/>
          <w:sz w:val="24"/>
          <w:szCs w:val="24"/>
        </w:rPr>
      </w:pPr>
      <w:r w:rsidRPr="000A0D17">
        <w:rPr>
          <w:rFonts w:ascii="Times New Roman" w:hAnsi="Times New Roman" w:cs="Times New Roman"/>
          <w:b/>
          <w:sz w:val="24"/>
          <w:szCs w:val="24"/>
        </w:rPr>
        <w:t>43 Ostali prihodi za posebne namjene</w:t>
      </w:r>
      <w:r w:rsidRPr="000A0D17">
        <w:rPr>
          <w:rFonts w:ascii="Times New Roman" w:hAnsi="Times New Roman" w:cs="Times New Roman"/>
          <w:sz w:val="24"/>
          <w:szCs w:val="24"/>
        </w:rPr>
        <w:t>, skupina 652, odnose se na prihode od školarina, upisnina i sl. Najveći iznos se ostvaruje od školarina studija Medicina na engleskom jeziku; ostalo se odnosi na prihode od poslijediplomskih studija; prihode od školarina od diplomskih studija Medicine, Dentalne medicine i Farmacije te upisnina.</w:t>
      </w:r>
    </w:p>
    <w:p w:rsidR="006F3737" w:rsidRDefault="006F3737" w:rsidP="006F3737">
      <w:pPr>
        <w:spacing w:line="240" w:lineRule="auto"/>
        <w:jc w:val="both"/>
        <w:rPr>
          <w:rFonts w:ascii="Times New Roman" w:hAnsi="Times New Roman" w:cs="Times New Roman"/>
          <w:sz w:val="24"/>
          <w:szCs w:val="24"/>
        </w:rPr>
      </w:pPr>
    </w:p>
    <w:p w:rsidR="002F01FA" w:rsidRPr="00CB596E" w:rsidRDefault="002F01FA" w:rsidP="006F3737">
      <w:pPr>
        <w:spacing w:line="240" w:lineRule="auto"/>
        <w:jc w:val="both"/>
        <w:rPr>
          <w:rFonts w:ascii="Times New Roman" w:hAnsi="Times New Roman" w:cs="Times New Roman"/>
          <w:sz w:val="24"/>
          <w:szCs w:val="24"/>
        </w:rPr>
      </w:pPr>
      <w:r w:rsidRPr="003B1BDF">
        <w:rPr>
          <w:rFonts w:ascii="Times New Roman" w:hAnsi="Times New Roman" w:cs="Times New Roman"/>
          <w:sz w:val="24"/>
          <w:szCs w:val="24"/>
        </w:rPr>
        <w:t>Prihodi iz izvora 43</w:t>
      </w:r>
      <w:r w:rsidR="005610C1" w:rsidRPr="003B1BDF">
        <w:rPr>
          <w:rFonts w:ascii="Times New Roman" w:hAnsi="Times New Roman" w:cs="Times New Roman"/>
          <w:sz w:val="24"/>
          <w:szCs w:val="24"/>
        </w:rPr>
        <w:t xml:space="preserve"> </w:t>
      </w:r>
      <w:r w:rsidRPr="003B1BDF">
        <w:rPr>
          <w:rFonts w:ascii="Times New Roman" w:hAnsi="Times New Roman" w:cs="Times New Roman"/>
          <w:sz w:val="24"/>
          <w:szCs w:val="24"/>
        </w:rPr>
        <w:t>su realiziran</w:t>
      </w:r>
      <w:r w:rsidR="00A925E1" w:rsidRPr="003B1BDF">
        <w:rPr>
          <w:rFonts w:ascii="Times New Roman" w:hAnsi="Times New Roman" w:cs="Times New Roman"/>
          <w:sz w:val="24"/>
          <w:szCs w:val="24"/>
        </w:rPr>
        <w:t>i</w:t>
      </w:r>
      <w:r w:rsidRPr="00CB596E">
        <w:rPr>
          <w:rFonts w:ascii="Times New Roman" w:hAnsi="Times New Roman" w:cs="Times New Roman"/>
          <w:sz w:val="24"/>
          <w:szCs w:val="24"/>
        </w:rPr>
        <w:t xml:space="preserve"> u visini </w:t>
      </w:r>
      <w:r w:rsidR="00E15DF0">
        <w:rPr>
          <w:rFonts w:ascii="Times New Roman" w:hAnsi="Times New Roman" w:cs="Times New Roman"/>
          <w:sz w:val="24"/>
          <w:szCs w:val="24"/>
        </w:rPr>
        <w:t>119,35</w:t>
      </w:r>
      <w:r w:rsidRPr="00CB596E">
        <w:rPr>
          <w:rFonts w:ascii="Times New Roman" w:hAnsi="Times New Roman" w:cs="Times New Roman"/>
          <w:sz w:val="24"/>
          <w:szCs w:val="24"/>
        </w:rPr>
        <w:t>% od planiranog</w:t>
      </w:r>
      <w:r w:rsidR="005610C1" w:rsidRPr="00CB596E">
        <w:rPr>
          <w:rFonts w:ascii="Times New Roman" w:hAnsi="Times New Roman" w:cs="Times New Roman"/>
          <w:sz w:val="24"/>
          <w:szCs w:val="24"/>
        </w:rPr>
        <w:t xml:space="preserve">, te </w:t>
      </w:r>
      <w:r w:rsidR="00E15DF0">
        <w:rPr>
          <w:rFonts w:ascii="Times New Roman" w:hAnsi="Times New Roman" w:cs="Times New Roman"/>
          <w:sz w:val="24"/>
          <w:szCs w:val="24"/>
        </w:rPr>
        <w:t>114,29</w:t>
      </w:r>
      <w:r w:rsidR="005610C1" w:rsidRPr="00CB596E">
        <w:rPr>
          <w:rFonts w:ascii="Times New Roman" w:hAnsi="Times New Roman" w:cs="Times New Roman"/>
          <w:sz w:val="24"/>
          <w:szCs w:val="24"/>
        </w:rPr>
        <w:t>% od prošlogodišnjeg izvršenja</w:t>
      </w:r>
      <w:r w:rsidRPr="00CB596E">
        <w:rPr>
          <w:rFonts w:ascii="Times New Roman" w:hAnsi="Times New Roman" w:cs="Times New Roman"/>
          <w:sz w:val="24"/>
          <w:szCs w:val="24"/>
        </w:rPr>
        <w:t>.</w:t>
      </w:r>
      <w:r w:rsidR="00005FAA" w:rsidRPr="00CB596E">
        <w:rPr>
          <w:rFonts w:ascii="Times New Roman" w:hAnsi="Times New Roman" w:cs="Times New Roman"/>
          <w:sz w:val="24"/>
          <w:szCs w:val="24"/>
        </w:rPr>
        <w:t xml:space="preserve"> </w:t>
      </w:r>
      <w:r w:rsidR="00E15DF0">
        <w:rPr>
          <w:rFonts w:ascii="Times New Roman" w:hAnsi="Times New Roman" w:cs="Times New Roman"/>
          <w:sz w:val="24"/>
          <w:szCs w:val="24"/>
        </w:rPr>
        <w:t>U odnosu na planirano, došlo je do povećanja broja novoupisanih studenata sa 60 na 70, što je u značajnoj mjeri utjecalo na povećanje prihoda</w:t>
      </w:r>
      <w:r w:rsidR="00D1321D">
        <w:rPr>
          <w:rFonts w:ascii="Times New Roman" w:hAnsi="Times New Roman" w:cs="Times New Roman"/>
          <w:sz w:val="24"/>
          <w:szCs w:val="24"/>
        </w:rPr>
        <w:t xml:space="preserve">; također, </w:t>
      </w:r>
      <w:r w:rsidR="003B1BDF">
        <w:rPr>
          <w:rFonts w:ascii="Times New Roman" w:hAnsi="Times New Roman" w:cs="Times New Roman"/>
          <w:sz w:val="24"/>
          <w:szCs w:val="24"/>
        </w:rPr>
        <w:t>ostvareni prihodi su viši od planiranih jer su planirani prihodi umanjeni za dio od prihoda koji se mora proslijediti Sveučilištu (15% od škol</w:t>
      </w:r>
      <w:r w:rsidR="00331A8F">
        <w:rPr>
          <w:rFonts w:ascii="Times New Roman" w:hAnsi="Times New Roman" w:cs="Times New Roman"/>
          <w:sz w:val="24"/>
          <w:szCs w:val="24"/>
        </w:rPr>
        <w:t>a</w:t>
      </w:r>
      <w:r w:rsidR="003B1BDF">
        <w:rPr>
          <w:rFonts w:ascii="Times New Roman" w:hAnsi="Times New Roman" w:cs="Times New Roman"/>
          <w:sz w:val="24"/>
          <w:szCs w:val="24"/>
        </w:rPr>
        <w:t>rina), međutim, tijekom 2023. nisu u cijelosti podmirivane obaveze iz ovih prihoda prema Sveučilištu.</w:t>
      </w:r>
    </w:p>
    <w:p w:rsidR="003B1BDF" w:rsidRPr="000A0D17" w:rsidRDefault="003B1BDF" w:rsidP="003B1BDF">
      <w:pPr>
        <w:spacing w:after="0"/>
        <w:ind w:left="47" w:right="14"/>
        <w:jc w:val="both"/>
        <w:rPr>
          <w:rFonts w:ascii="Times New Roman" w:hAnsi="Times New Roman" w:cs="Times New Roman"/>
          <w:sz w:val="24"/>
          <w:szCs w:val="24"/>
        </w:rPr>
      </w:pPr>
      <w:r w:rsidRPr="000A0D17">
        <w:rPr>
          <w:rFonts w:ascii="Times New Roman" w:hAnsi="Times New Roman" w:cs="Times New Roman"/>
          <w:b/>
          <w:sz w:val="24"/>
          <w:szCs w:val="24"/>
        </w:rPr>
        <w:t>5 Pomoći</w:t>
      </w:r>
      <w:r w:rsidRPr="000A0D17">
        <w:rPr>
          <w:rFonts w:ascii="Times New Roman" w:hAnsi="Times New Roman" w:cs="Times New Roman"/>
          <w:sz w:val="24"/>
          <w:szCs w:val="24"/>
        </w:rPr>
        <w:t xml:space="preserve"> čine sredstva iz Europskog fonda za regionalni razvoj, sredstva Europske unije za istraživanje i inovacije, sredstva ESF-a, sredstva Hrvatske zaklade za znanost, sredstva Grada Splita za poticanje znanstvene izvrsnosti,  pomoći MZO-a i Županije.</w:t>
      </w:r>
    </w:p>
    <w:p w:rsidR="006F3737" w:rsidRDefault="006F3737" w:rsidP="003B1BDF">
      <w:pPr>
        <w:spacing w:after="290"/>
        <w:ind w:left="38" w:right="14"/>
        <w:jc w:val="both"/>
        <w:rPr>
          <w:rFonts w:ascii="Times New Roman" w:hAnsi="Times New Roman" w:cs="Times New Roman"/>
          <w:sz w:val="24"/>
          <w:szCs w:val="24"/>
        </w:rPr>
      </w:pPr>
    </w:p>
    <w:p w:rsidR="003B1BDF" w:rsidRPr="000A0D17" w:rsidRDefault="003B1BDF" w:rsidP="003B1BDF">
      <w:pPr>
        <w:spacing w:after="290"/>
        <w:ind w:left="38" w:right="14"/>
        <w:jc w:val="both"/>
        <w:rPr>
          <w:rFonts w:ascii="Times New Roman" w:hAnsi="Times New Roman" w:cs="Times New Roman"/>
          <w:sz w:val="24"/>
          <w:szCs w:val="24"/>
        </w:rPr>
      </w:pPr>
      <w:r w:rsidRPr="000A0D17">
        <w:rPr>
          <w:rFonts w:ascii="Times New Roman" w:hAnsi="Times New Roman" w:cs="Times New Roman"/>
          <w:sz w:val="24"/>
          <w:szCs w:val="24"/>
        </w:rPr>
        <w:t xml:space="preserve">Planirana sredstva iz </w:t>
      </w:r>
      <w:r w:rsidRPr="000A0D17">
        <w:rPr>
          <w:rFonts w:ascii="Times New Roman" w:hAnsi="Times New Roman" w:cs="Times New Roman"/>
          <w:b/>
          <w:sz w:val="24"/>
          <w:szCs w:val="24"/>
        </w:rPr>
        <w:t>izvora 51</w:t>
      </w:r>
      <w:r w:rsidRPr="000A0D17">
        <w:rPr>
          <w:rFonts w:ascii="Times New Roman" w:hAnsi="Times New Roman" w:cs="Times New Roman"/>
          <w:sz w:val="24"/>
          <w:szCs w:val="24"/>
        </w:rPr>
        <w:t xml:space="preserve"> se odnose na prihode od EU projekata: SI4Care, </w:t>
      </w:r>
      <w:proofErr w:type="spellStart"/>
      <w:r w:rsidRPr="000A0D17">
        <w:rPr>
          <w:rFonts w:ascii="Times New Roman" w:hAnsi="Times New Roman" w:cs="Times New Roman"/>
          <w:sz w:val="24"/>
          <w:szCs w:val="24"/>
        </w:rPr>
        <w:t>iRECS</w:t>
      </w:r>
      <w:proofErr w:type="spellEnd"/>
      <w:r w:rsidRPr="000A0D17">
        <w:rPr>
          <w:rFonts w:ascii="Times New Roman" w:hAnsi="Times New Roman" w:cs="Times New Roman"/>
          <w:sz w:val="24"/>
          <w:szCs w:val="24"/>
        </w:rPr>
        <w:t xml:space="preserve">, Youth </w:t>
      </w:r>
      <w:proofErr w:type="spellStart"/>
      <w:r w:rsidRPr="000A0D17">
        <w:rPr>
          <w:rFonts w:ascii="Times New Roman" w:hAnsi="Times New Roman" w:cs="Times New Roman"/>
          <w:sz w:val="24"/>
          <w:szCs w:val="24"/>
        </w:rPr>
        <w:t>Games</w:t>
      </w:r>
      <w:proofErr w:type="spellEnd"/>
      <w:r w:rsidRPr="000A0D17">
        <w:rPr>
          <w:rFonts w:ascii="Times New Roman" w:hAnsi="Times New Roman" w:cs="Times New Roman"/>
          <w:sz w:val="24"/>
          <w:szCs w:val="24"/>
        </w:rPr>
        <w:t xml:space="preserve"> i </w:t>
      </w:r>
      <w:proofErr w:type="spellStart"/>
      <w:r w:rsidRPr="000A0D17">
        <w:rPr>
          <w:rFonts w:ascii="Times New Roman" w:hAnsi="Times New Roman" w:cs="Times New Roman"/>
          <w:sz w:val="24"/>
          <w:szCs w:val="24"/>
        </w:rPr>
        <w:t>Sleep</w:t>
      </w:r>
      <w:proofErr w:type="spellEnd"/>
      <w:r w:rsidRPr="000A0D17">
        <w:rPr>
          <w:rFonts w:ascii="Times New Roman" w:hAnsi="Times New Roman" w:cs="Times New Roman"/>
          <w:sz w:val="24"/>
          <w:szCs w:val="24"/>
        </w:rPr>
        <w:t xml:space="preserve"> </w:t>
      </w:r>
      <w:proofErr w:type="spellStart"/>
      <w:r w:rsidRPr="000A0D17">
        <w:rPr>
          <w:rFonts w:ascii="Times New Roman" w:hAnsi="Times New Roman" w:cs="Times New Roman"/>
          <w:sz w:val="24"/>
          <w:szCs w:val="24"/>
        </w:rPr>
        <w:t>Revolution</w:t>
      </w:r>
      <w:proofErr w:type="spellEnd"/>
      <w:r w:rsidR="00E44EDA" w:rsidRPr="000A0D17">
        <w:rPr>
          <w:rFonts w:ascii="Times New Roman" w:hAnsi="Times New Roman" w:cs="Times New Roman"/>
          <w:sz w:val="24"/>
          <w:szCs w:val="24"/>
        </w:rPr>
        <w:t>.</w:t>
      </w:r>
      <w:r w:rsidRPr="000A0D17">
        <w:rPr>
          <w:rFonts w:ascii="Times New Roman" w:hAnsi="Times New Roman" w:cs="Times New Roman"/>
          <w:sz w:val="24"/>
          <w:szCs w:val="24"/>
        </w:rPr>
        <w:t xml:space="preserve"> </w:t>
      </w:r>
      <w:r w:rsidR="00E44EDA" w:rsidRPr="000A0D17">
        <w:rPr>
          <w:rFonts w:ascii="Times New Roman" w:hAnsi="Times New Roman" w:cs="Times New Roman"/>
          <w:sz w:val="24"/>
          <w:szCs w:val="24"/>
        </w:rPr>
        <w:t>P</w:t>
      </w:r>
      <w:r w:rsidRPr="000A0D17">
        <w:rPr>
          <w:rFonts w:ascii="Times New Roman" w:hAnsi="Times New Roman" w:cs="Times New Roman"/>
          <w:sz w:val="24"/>
          <w:szCs w:val="24"/>
        </w:rPr>
        <w:t xml:space="preserve">lanirani iznosi su definirani temeljem proračuna navedenih </w:t>
      </w:r>
      <w:r w:rsidRPr="000A0D17">
        <w:rPr>
          <w:rFonts w:ascii="Times New Roman" w:hAnsi="Times New Roman" w:cs="Times New Roman"/>
          <w:sz w:val="24"/>
          <w:szCs w:val="24"/>
        </w:rPr>
        <w:lastRenderedPageBreak/>
        <w:t>projekata</w:t>
      </w:r>
      <w:r w:rsidR="00E44EDA" w:rsidRPr="000A0D17">
        <w:rPr>
          <w:rFonts w:ascii="Times New Roman" w:hAnsi="Times New Roman" w:cs="Times New Roman"/>
          <w:sz w:val="24"/>
          <w:szCs w:val="24"/>
        </w:rPr>
        <w:t>,</w:t>
      </w:r>
      <w:r w:rsidR="00362A71">
        <w:rPr>
          <w:rFonts w:ascii="Times New Roman" w:hAnsi="Times New Roman" w:cs="Times New Roman"/>
          <w:sz w:val="24"/>
          <w:szCs w:val="24"/>
        </w:rPr>
        <w:t xml:space="preserve"> </w:t>
      </w:r>
      <w:r w:rsidR="00E44EDA" w:rsidRPr="000A0D17">
        <w:rPr>
          <w:rFonts w:ascii="Times New Roman" w:hAnsi="Times New Roman" w:cs="Times New Roman"/>
          <w:sz w:val="24"/>
          <w:szCs w:val="24"/>
        </w:rPr>
        <w:t>a prihodi su realizirani u visini 58,98% u odnosu na plan, te 66,74% u odnosu na prethodnu godinu. Odstupanja u odnosu na plan su definirana dinamikom realizacije projekata te vremenom potrebnim za odobravanje ZNS-ova od nadležnih tijela te rokovima u kojima stižu prihodi po projektima.</w:t>
      </w:r>
    </w:p>
    <w:p w:rsidR="000A0D17" w:rsidRPr="00A7057D" w:rsidRDefault="00BE3334" w:rsidP="000A0D17">
      <w:pPr>
        <w:spacing w:after="290"/>
        <w:ind w:left="38" w:right="14"/>
        <w:jc w:val="both"/>
        <w:rPr>
          <w:rFonts w:ascii="Times New Roman" w:hAnsi="Times New Roman" w:cs="Times New Roman"/>
          <w:sz w:val="24"/>
          <w:szCs w:val="24"/>
        </w:rPr>
      </w:pPr>
      <w:r w:rsidRPr="00E2770A">
        <w:rPr>
          <w:rFonts w:ascii="Times New Roman" w:hAnsi="Times New Roman" w:cs="Times New Roman"/>
          <w:b/>
          <w:sz w:val="24"/>
          <w:szCs w:val="24"/>
        </w:rPr>
        <w:t xml:space="preserve">Prihodi </w:t>
      </w:r>
      <w:r w:rsidR="00E2770A" w:rsidRPr="00E2770A">
        <w:rPr>
          <w:rFonts w:ascii="Times New Roman" w:hAnsi="Times New Roman" w:cs="Times New Roman"/>
          <w:b/>
          <w:sz w:val="24"/>
          <w:szCs w:val="24"/>
        </w:rPr>
        <w:t>iz</w:t>
      </w:r>
      <w:r w:rsidRPr="00E2770A">
        <w:rPr>
          <w:rFonts w:ascii="Times New Roman" w:hAnsi="Times New Roman" w:cs="Times New Roman"/>
          <w:b/>
          <w:sz w:val="24"/>
          <w:szCs w:val="24"/>
        </w:rPr>
        <w:t xml:space="preserve"> izvora 52</w:t>
      </w:r>
      <w:r w:rsidRPr="00BE3334">
        <w:rPr>
          <w:rFonts w:ascii="Times New Roman" w:hAnsi="Times New Roman" w:cs="Times New Roman"/>
          <w:sz w:val="24"/>
          <w:szCs w:val="24"/>
        </w:rPr>
        <w:t xml:space="preserve"> se </w:t>
      </w:r>
      <w:r w:rsidR="000A0D17" w:rsidRPr="00BE3334">
        <w:rPr>
          <w:rFonts w:ascii="Times New Roman" w:hAnsi="Times New Roman" w:cs="Times New Roman"/>
          <w:sz w:val="24"/>
          <w:szCs w:val="24"/>
        </w:rPr>
        <w:t>u najvećem dijelu odnose na EU projekt Medicinska plus (nositelj Srednja medici</w:t>
      </w:r>
      <w:r w:rsidR="000D491F">
        <w:rPr>
          <w:rFonts w:ascii="Times New Roman" w:hAnsi="Times New Roman" w:cs="Times New Roman"/>
          <w:sz w:val="24"/>
          <w:szCs w:val="24"/>
        </w:rPr>
        <w:t>nska</w:t>
      </w:r>
      <w:r w:rsidR="000A0D17" w:rsidRPr="00BE3334">
        <w:rPr>
          <w:rFonts w:ascii="Times New Roman" w:hAnsi="Times New Roman" w:cs="Times New Roman"/>
          <w:sz w:val="24"/>
          <w:szCs w:val="24"/>
        </w:rPr>
        <w:t xml:space="preserve"> škola iz Zadra) te na sredstva iz Hrvatske zaklade za znanost za aktivne HRZZ projekte kao i za plaće </w:t>
      </w:r>
      <w:proofErr w:type="spellStart"/>
      <w:r w:rsidR="000A0D17" w:rsidRPr="00BE3334">
        <w:rPr>
          <w:rFonts w:ascii="Times New Roman" w:hAnsi="Times New Roman" w:cs="Times New Roman"/>
          <w:sz w:val="24"/>
          <w:szCs w:val="24"/>
        </w:rPr>
        <w:t>doktoranada</w:t>
      </w:r>
      <w:proofErr w:type="spellEnd"/>
      <w:r w:rsidR="000A0D17" w:rsidRPr="00BE3334">
        <w:rPr>
          <w:rFonts w:ascii="Times New Roman" w:hAnsi="Times New Roman" w:cs="Times New Roman"/>
          <w:sz w:val="24"/>
          <w:szCs w:val="24"/>
        </w:rPr>
        <w:t xml:space="preserve">. Ostalo se odnosi na projekt na kojem smo partneri </w:t>
      </w:r>
      <w:r w:rsidR="000A0D17" w:rsidRPr="00A7057D">
        <w:rPr>
          <w:rFonts w:ascii="Times New Roman" w:hAnsi="Times New Roman" w:cs="Times New Roman"/>
          <w:sz w:val="24"/>
          <w:szCs w:val="24"/>
        </w:rPr>
        <w:t xml:space="preserve">(ZCIPM) te za koji nam prihode uplaćuje Sveučilište u Osijeku; na prihode od Sveučilišta u Splitu (nastava u Mostaru te </w:t>
      </w:r>
      <w:proofErr w:type="spellStart"/>
      <w:r w:rsidR="000A0D17" w:rsidRPr="00A7057D">
        <w:rPr>
          <w:rFonts w:ascii="Times New Roman" w:hAnsi="Times New Roman" w:cs="Times New Roman"/>
          <w:sz w:val="24"/>
          <w:szCs w:val="24"/>
        </w:rPr>
        <w:t>Erasmus</w:t>
      </w:r>
      <w:proofErr w:type="spellEnd"/>
      <w:r w:rsidR="000A0D17" w:rsidRPr="00A7057D">
        <w:rPr>
          <w:rFonts w:ascii="Times New Roman" w:hAnsi="Times New Roman" w:cs="Times New Roman"/>
          <w:sz w:val="24"/>
          <w:szCs w:val="24"/>
        </w:rPr>
        <w:t xml:space="preserve">+ projekti) te na ostale pomoći. </w:t>
      </w:r>
    </w:p>
    <w:p w:rsidR="00BE3334" w:rsidRPr="00A7057D" w:rsidRDefault="00BE3334" w:rsidP="00BE3334">
      <w:pPr>
        <w:jc w:val="both"/>
        <w:rPr>
          <w:rFonts w:ascii="Times New Roman" w:hAnsi="Times New Roman" w:cs="Times New Roman"/>
          <w:sz w:val="24"/>
          <w:szCs w:val="24"/>
        </w:rPr>
      </w:pPr>
      <w:r w:rsidRPr="00362A71">
        <w:rPr>
          <w:rFonts w:ascii="Times New Roman" w:hAnsi="Times New Roman" w:cs="Times New Roman"/>
          <w:sz w:val="24"/>
          <w:szCs w:val="24"/>
        </w:rPr>
        <w:t>Prihodi iz izvora 52</w:t>
      </w:r>
      <w:r w:rsidRPr="00A7057D">
        <w:rPr>
          <w:rFonts w:ascii="Times New Roman" w:hAnsi="Times New Roman" w:cs="Times New Roman"/>
          <w:sz w:val="24"/>
          <w:szCs w:val="24"/>
        </w:rPr>
        <w:t xml:space="preserve"> su u odnosu na plan realizirane u visini 101,71%, a u odnosu na prošlogodišnje ostvarenje u visini 171,54%. Ovi prihodi se uglavnom temelje na prijenosu EU sredstava te sredstava iz Hrvatske zaklade za znanost..</w:t>
      </w:r>
    </w:p>
    <w:p w:rsidR="00F46B91" w:rsidRPr="00A7057D" w:rsidRDefault="00F46B91" w:rsidP="00F46B91">
      <w:pPr>
        <w:pStyle w:val="HTMLPreformatted"/>
        <w:shd w:val="clear" w:color="auto" w:fill="FFFFFF"/>
        <w:jc w:val="both"/>
        <w:rPr>
          <w:rFonts w:ascii="Times New Roman" w:hAnsi="Times New Roman" w:cs="Times New Roman"/>
          <w:sz w:val="24"/>
          <w:szCs w:val="24"/>
        </w:rPr>
      </w:pPr>
      <w:proofErr w:type="spellStart"/>
      <w:r w:rsidRPr="00A7057D">
        <w:rPr>
          <w:rFonts w:ascii="Times New Roman" w:hAnsi="Times New Roman" w:cs="Times New Roman"/>
          <w:b/>
          <w:sz w:val="24"/>
          <w:szCs w:val="24"/>
        </w:rPr>
        <w:t>Prihodi</w:t>
      </w:r>
      <w:proofErr w:type="spellEnd"/>
      <w:r w:rsidRPr="00A7057D">
        <w:rPr>
          <w:rFonts w:ascii="Times New Roman" w:hAnsi="Times New Roman" w:cs="Times New Roman"/>
          <w:b/>
          <w:sz w:val="24"/>
          <w:szCs w:val="24"/>
        </w:rPr>
        <w:t xml:space="preserve"> </w:t>
      </w:r>
      <w:proofErr w:type="spellStart"/>
      <w:r w:rsidRPr="00A7057D">
        <w:rPr>
          <w:rFonts w:ascii="Times New Roman" w:hAnsi="Times New Roman" w:cs="Times New Roman"/>
          <w:b/>
          <w:sz w:val="24"/>
          <w:szCs w:val="24"/>
        </w:rPr>
        <w:t>iz</w:t>
      </w:r>
      <w:proofErr w:type="spellEnd"/>
      <w:r w:rsidRPr="00A7057D">
        <w:rPr>
          <w:rFonts w:ascii="Times New Roman" w:hAnsi="Times New Roman" w:cs="Times New Roman"/>
          <w:b/>
          <w:sz w:val="24"/>
          <w:szCs w:val="24"/>
        </w:rPr>
        <w:t xml:space="preserve"> </w:t>
      </w:r>
      <w:proofErr w:type="spellStart"/>
      <w:r w:rsidRPr="00A7057D">
        <w:rPr>
          <w:rFonts w:ascii="Times New Roman" w:hAnsi="Times New Roman" w:cs="Times New Roman"/>
          <w:b/>
          <w:sz w:val="24"/>
          <w:szCs w:val="24"/>
        </w:rPr>
        <w:t>izvora</w:t>
      </w:r>
      <w:proofErr w:type="spellEnd"/>
      <w:r w:rsidRPr="00A7057D">
        <w:rPr>
          <w:rFonts w:ascii="Times New Roman" w:hAnsi="Times New Roman" w:cs="Times New Roman"/>
          <w:b/>
          <w:sz w:val="24"/>
          <w:szCs w:val="24"/>
        </w:rPr>
        <w:t xml:space="preserve"> </w:t>
      </w:r>
      <w:proofErr w:type="gramStart"/>
      <w:r w:rsidRPr="00A7057D">
        <w:rPr>
          <w:rFonts w:ascii="Times New Roman" w:hAnsi="Times New Roman" w:cs="Times New Roman"/>
          <w:b/>
          <w:sz w:val="24"/>
          <w:szCs w:val="24"/>
        </w:rPr>
        <w:t xml:space="preserve">561 </w:t>
      </w:r>
      <w:r w:rsidRPr="00A7057D">
        <w:rPr>
          <w:rFonts w:ascii="Times New Roman" w:hAnsi="Times New Roman" w:cs="Times New Roman"/>
          <w:sz w:val="24"/>
          <w:szCs w:val="24"/>
        </w:rPr>
        <w:t xml:space="preserve"> se</w:t>
      </w:r>
      <w:proofErr w:type="gram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odnose</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na</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prihode</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iz</w:t>
      </w:r>
      <w:proofErr w:type="spellEnd"/>
      <w:r w:rsidRPr="00A7057D">
        <w:rPr>
          <w:rFonts w:ascii="Times New Roman" w:hAnsi="Times New Roman" w:cs="Times New Roman"/>
          <w:sz w:val="24"/>
          <w:szCs w:val="24"/>
        </w:rPr>
        <w:t xml:space="preserve"> ESF-a </w:t>
      </w:r>
      <w:proofErr w:type="spellStart"/>
      <w:r w:rsidRPr="00A7057D">
        <w:rPr>
          <w:rFonts w:ascii="Times New Roman" w:hAnsi="Times New Roman" w:cs="Times New Roman"/>
          <w:sz w:val="24"/>
          <w:szCs w:val="24"/>
        </w:rPr>
        <w:t>temeljem</w:t>
      </w:r>
      <w:proofErr w:type="spellEnd"/>
      <w:r w:rsidRPr="00A7057D">
        <w:rPr>
          <w:rFonts w:ascii="Times New Roman" w:hAnsi="Times New Roman" w:cs="Times New Roman"/>
          <w:sz w:val="24"/>
          <w:szCs w:val="24"/>
        </w:rPr>
        <w:t xml:space="preserve"> EU </w:t>
      </w:r>
      <w:proofErr w:type="spellStart"/>
      <w:r w:rsidRPr="00A7057D">
        <w:rPr>
          <w:rFonts w:ascii="Times New Roman" w:hAnsi="Times New Roman" w:cs="Times New Roman"/>
          <w:sz w:val="24"/>
          <w:szCs w:val="24"/>
        </w:rPr>
        <w:t>projekta</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Stručna</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praksa</w:t>
      </w:r>
      <w:proofErr w:type="spellEnd"/>
      <w:r w:rsidRPr="00A7057D">
        <w:rPr>
          <w:rFonts w:ascii="Times New Roman" w:hAnsi="Times New Roman" w:cs="Times New Roman"/>
          <w:sz w:val="24"/>
          <w:szCs w:val="24"/>
        </w:rPr>
        <w:t>”.</w:t>
      </w:r>
    </w:p>
    <w:p w:rsidR="00F46B91" w:rsidRPr="00A7057D" w:rsidRDefault="00F46B91" w:rsidP="00F46B91">
      <w:pPr>
        <w:pStyle w:val="HTMLPreformatted"/>
        <w:shd w:val="clear" w:color="auto" w:fill="FFFFFF"/>
        <w:jc w:val="both"/>
        <w:rPr>
          <w:rFonts w:ascii="Times New Roman" w:hAnsi="Times New Roman" w:cs="Times New Roman"/>
          <w:sz w:val="24"/>
          <w:szCs w:val="24"/>
        </w:rPr>
      </w:pPr>
      <w:proofErr w:type="spellStart"/>
      <w:r w:rsidRPr="00A7057D">
        <w:rPr>
          <w:rFonts w:ascii="Times New Roman" w:hAnsi="Times New Roman" w:cs="Times New Roman"/>
          <w:sz w:val="24"/>
          <w:szCs w:val="24"/>
        </w:rPr>
        <w:t>Projekt</w:t>
      </w:r>
      <w:proofErr w:type="spellEnd"/>
      <w:r w:rsidRPr="00A7057D">
        <w:rPr>
          <w:rFonts w:ascii="Times New Roman" w:hAnsi="Times New Roman" w:cs="Times New Roman"/>
          <w:sz w:val="24"/>
          <w:szCs w:val="24"/>
        </w:rPr>
        <w:t xml:space="preserve"> je </w:t>
      </w:r>
      <w:proofErr w:type="spellStart"/>
      <w:r w:rsidRPr="00A7057D">
        <w:rPr>
          <w:rFonts w:ascii="Times New Roman" w:hAnsi="Times New Roman" w:cs="Times New Roman"/>
          <w:sz w:val="24"/>
          <w:szCs w:val="24"/>
        </w:rPr>
        <w:t>završio</w:t>
      </w:r>
      <w:proofErr w:type="spellEnd"/>
      <w:r w:rsidRPr="00A7057D">
        <w:rPr>
          <w:rFonts w:ascii="Times New Roman" w:hAnsi="Times New Roman" w:cs="Times New Roman"/>
          <w:sz w:val="24"/>
          <w:szCs w:val="24"/>
        </w:rPr>
        <w:t xml:space="preserve"> u 2023. </w:t>
      </w:r>
      <w:proofErr w:type="spellStart"/>
      <w:r w:rsidR="00E6162A" w:rsidRPr="00A7057D">
        <w:rPr>
          <w:rFonts w:ascii="Times New Roman" w:hAnsi="Times New Roman" w:cs="Times New Roman"/>
          <w:sz w:val="24"/>
          <w:szCs w:val="24"/>
        </w:rPr>
        <w:t>g</w:t>
      </w:r>
      <w:r w:rsidRPr="00A7057D">
        <w:rPr>
          <w:rFonts w:ascii="Times New Roman" w:hAnsi="Times New Roman" w:cs="Times New Roman"/>
          <w:sz w:val="24"/>
          <w:szCs w:val="24"/>
        </w:rPr>
        <w:t>odini</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te</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su</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prihodi</w:t>
      </w:r>
      <w:proofErr w:type="spellEnd"/>
      <w:r w:rsidRPr="00A7057D">
        <w:rPr>
          <w:rFonts w:ascii="Times New Roman" w:hAnsi="Times New Roman" w:cs="Times New Roman"/>
          <w:sz w:val="24"/>
          <w:szCs w:val="24"/>
        </w:rPr>
        <w:t xml:space="preserve"> </w:t>
      </w:r>
      <w:proofErr w:type="spellStart"/>
      <w:proofErr w:type="gramStart"/>
      <w:r w:rsidRPr="00A7057D">
        <w:rPr>
          <w:rFonts w:ascii="Times New Roman" w:hAnsi="Times New Roman" w:cs="Times New Roman"/>
          <w:sz w:val="24"/>
          <w:szCs w:val="24"/>
        </w:rPr>
        <w:t>iz</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ovog</w:t>
      </w:r>
      <w:proofErr w:type="spellEnd"/>
      <w:proofErr w:type="gram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izvora</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realizirani</w:t>
      </w:r>
      <w:proofErr w:type="spellEnd"/>
      <w:r w:rsidRPr="00A7057D">
        <w:rPr>
          <w:rFonts w:ascii="Times New Roman" w:hAnsi="Times New Roman" w:cs="Times New Roman"/>
          <w:sz w:val="24"/>
          <w:szCs w:val="24"/>
        </w:rPr>
        <w:t xml:space="preserve"> u </w:t>
      </w:r>
      <w:proofErr w:type="spellStart"/>
      <w:r w:rsidRPr="00A7057D">
        <w:rPr>
          <w:rFonts w:ascii="Times New Roman" w:hAnsi="Times New Roman" w:cs="Times New Roman"/>
          <w:sz w:val="24"/>
          <w:szCs w:val="24"/>
        </w:rPr>
        <w:t>visini</w:t>
      </w:r>
      <w:proofErr w:type="spellEnd"/>
      <w:r w:rsidRPr="00A7057D">
        <w:rPr>
          <w:rFonts w:ascii="Times New Roman" w:hAnsi="Times New Roman" w:cs="Times New Roman"/>
          <w:sz w:val="24"/>
          <w:szCs w:val="24"/>
        </w:rPr>
        <w:t xml:space="preserve"> 100% u </w:t>
      </w:r>
      <w:proofErr w:type="spellStart"/>
      <w:r w:rsidRPr="00A7057D">
        <w:rPr>
          <w:rFonts w:ascii="Times New Roman" w:hAnsi="Times New Roman" w:cs="Times New Roman"/>
          <w:sz w:val="24"/>
          <w:szCs w:val="24"/>
        </w:rPr>
        <w:t>odnosu</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na</w:t>
      </w:r>
      <w:proofErr w:type="spellEnd"/>
      <w:r w:rsidRPr="00A7057D">
        <w:rPr>
          <w:rFonts w:ascii="Times New Roman" w:hAnsi="Times New Roman" w:cs="Times New Roman"/>
          <w:sz w:val="24"/>
          <w:szCs w:val="24"/>
        </w:rPr>
        <w:t xml:space="preserve"> plan, </w:t>
      </w:r>
      <w:proofErr w:type="spellStart"/>
      <w:r w:rsidRPr="00A7057D">
        <w:rPr>
          <w:rFonts w:ascii="Times New Roman" w:hAnsi="Times New Roman" w:cs="Times New Roman"/>
          <w:sz w:val="24"/>
          <w:szCs w:val="24"/>
        </w:rPr>
        <w:t>te</w:t>
      </w:r>
      <w:proofErr w:type="spellEnd"/>
      <w:r w:rsidRPr="00A7057D">
        <w:rPr>
          <w:rFonts w:ascii="Times New Roman" w:hAnsi="Times New Roman" w:cs="Times New Roman"/>
          <w:sz w:val="24"/>
          <w:szCs w:val="24"/>
        </w:rPr>
        <w:t xml:space="preserve"> 16,90% u </w:t>
      </w:r>
      <w:proofErr w:type="spellStart"/>
      <w:r w:rsidRPr="00A7057D">
        <w:rPr>
          <w:rFonts w:ascii="Times New Roman" w:hAnsi="Times New Roman" w:cs="Times New Roman"/>
          <w:sz w:val="24"/>
          <w:szCs w:val="24"/>
        </w:rPr>
        <w:t>odnosu</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na</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realizaciju</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prethodne</w:t>
      </w:r>
      <w:proofErr w:type="spellEnd"/>
      <w:r w:rsidRPr="00A7057D">
        <w:rPr>
          <w:rFonts w:ascii="Times New Roman" w:hAnsi="Times New Roman" w:cs="Times New Roman"/>
          <w:sz w:val="24"/>
          <w:szCs w:val="24"/>
        </w:rPr>
        <w:t xml:space="preserve"> </w:t>
      </w:r>
      <w:proofErr w:type="spellStart"/>
      <w:r w:rsidRPr="00A7057D">
        <w:rPr>
          <w:rFonts w:ascii="Times New Roman" w:hAnsi="Times New Roman" w:cs="Times New Roman"/>
          <w:sz w:val="24"/>
          <w:szCs w:val="24"/>
        </w:rPr>
        <w:t>godine</w:t>
      </w:r>
      <w:proofErr w:type="spellEnd"/>
      <w:r w:rsidRPr="00A7057D">
        <w:rPr>
          <w:rFonts w:ascii="Times New Roman" w:hAnsi="Times New Roman" w:cs="Times New Roman"/>
          <w:sz w:val="24"/>
          <w:szCs w:val="24"/>
        </w:rPr>
        <w:t>.</w:t>
      </w:r>
    </w:p>
    <w:p w:rsidR="00344DB4" w:rsidRDefault="00344DB4" w:rsidP="00E2770A">
      <w:pPr>
        <w:spacing w:after="0"/>
        <w:ind w:right="14"/>
        <w:jc w:val="both"/>
        <w:rPr>
          <w:rFonts w:ascii="Times New Roman" w:hAnsi="Times New Roman" w:cs="Times New Roman"/>
          <w:b/>
          <w:sz w:val="24"/>
          <w:szCs w:val="24"/>
        </w:rPr>
      </w:pPr>
    </w:p>
    <w:p w:rsidR="00B633FC" w:rsidRPr="00A7057D" w:rsidRDefault="00B633FC" w:rsidP="00E2770A">
      <w:pPr>
        <w:spacing w:after="0"/>
        <w:ind w:right="14"/>
        <w:jc w:val="both"/>
        <w:rPr>
          <w:rFonts w:ascii="Times New Roman" w:hAnsi="Times New Roman" w:cs="Times New Roman"/>
          <w:sz w:val="24"/>
          <w:szCs w:val="24"/>
        </w:rPr>
      </w:pPr>
      <w:r w:rsidRPr="00A7057D">
        <w:rPr>
          <w:rFonts w:ascii="Times New Roman" w:hAnsi="Times New Roman" w:cs="Times New Roman"/>
          <w:b/>
          <w:sz w:val="24"/>
          <w:szCs w:val="24"/>
        </w:rPr>
        <w:t xml:space="preserve">61 Donacije </w:t>
      </w:r>
      <w:r w:rsidRPr="00A7057D">
        <w:rPr>
          <w:rFonts w:ascii="Times New Roman" w:hAnsi="Times New Roman" w:cs="Times New Roman"/>
          <w:sz w:val="24"/>
          <w:szCs w:val="24"/>
        </w:rPr>
        <w:t>se odnose na namjenske donacije fizičkih osoba, neprofitnih organizacija, trgovačkih društava i ostalih subjekata izvan općeg proračuna (ovdje su uključena i sredstva primljena od pravnih osoba nositelja EU projekata (MEFST partner na projektu)).</w:t>
      </w:r>
    </w:p>
    <w:p w:rsidR="00F46B91" w:rsidRPr="00A7057D" w:rsidRDefault="00F46B91" w:rsidP="00E2770A">
      <w:pPr>
        <w:jc w:val="both"/>
        <w:rPr>
          <w:rFonts w:ascii="Times New Roman" w:hAnsi="Times New Roman" w:cs="Times New Roman"/>
          <w:sz w:val="24"/>
          <w:szCs w:val="24"/>
        </w:rPr>
      </w:pPr>
      <w:r w:rsidRPr="00A7057D">
        <w:rPr>
          <w:rFonts w:ascii="Times New Roman" w:hAnsi="Times New Roman" w:cs="Times New Roman"/>
          <w:sz w:val="24"/>
          <w:szCs w:val="24"/>
        </w:rPr>
        <w:t xml:space="preserve">Prihodi iz izvora 61 (donacije) ostvareni su u visini 97,46% od planiranog, te 365,46% od prošlogodišnje izvršenja. </w:t>
      </w:r>
    </w:p>
    <w:p w:rsidR="00B633FC" w:rsidRPr="007F339C" w:rsidRDefault="00B633FC" w:rsidP="00B633FC">
      <w:pPr>
        <w:spacing w:after="0"/>
        <w:ind w:left="47" w:right="14"/>
        <w:rPr>
          <w:rFonts w:ascii="Times New Roman" w:hAnsi="Times New Roman" w:cs="Times New Roman"/>
          <w:sz w:val="24"/>
          <w:szCs w:val="24"/>
        </w:rPr>
      </w:pPr>
    </w:p>
    <w:p w:rsidR="00F471E7" w:rsidRDefault="00F471E7" w:rsidP="00624C16">
      <w:pPr>
        <w:spacing w:line="240" w:lineRule="auto"/>
        <w:jc w:val="both"/>
        <w:rPr>
          <w:rFonts w:ascii="Times New Roman" w:hAnsi="Times New Roman" w:cs="Times New Roman"/>
          <w:b/>
          <w:sz w:val="24"/>
          <w:szCs w:val="24"/>
        </w:rPr>
      </w:pPr>
      <w:r w:rsidRPr="005B26B0">
        <w:rPr>
          <w:rFonts w:ascii="Times New Roman" w:hAnsi="Times New Roman" w:cs="Times New Roman"/>
          <w:b/>
          <w:sz w:val="24"/>
          <w:szCs w:val="24"/>
        </w:rPr>
        <w:t>RASHODI I IZDACI</w:t>
      </w:r>
    </w:p>
    <w:p w:rsidR="00CB596E" w:rsidRDefault="00CB596E" w:rsidP="00CB596E">
      <w:pPr>
        <w:spacing w:line="240" w:lineRule="auto"/>
        <w:jc w:val="both"/>
        <w:rPr>
          <w:rFonts w:ascii="Times New Roman" w:hAnsi="Times New Roman" w:cs="Times New Roman"/>
          <w:b/>
          <w:sz w:val="24"/>
          <w:szCs w:val="24"/>
        </w:rPr>
      </w:pPr>
      <w:r>
        <w:rPr>
          <w:rFonts w:ascii="Times New Roman" w:hAnsi="Times New Roman" w:cs="Times New Roman"/>
          <w:b/>
          <w:sz w:val="24"/>
          <w:szCs w:val="24"/>
        </w:rPr>
        <w:t>Obrazloženje</w:t>
      </w:r>
      <w:r w:rsidR="006F1F9B">
        <w:rPr>
          <w:rFonts w:ascii="Times New Roman" w:hAnsi="Times New Roman" w:cs="Times New Roman"/>
          <w:b/>
          <w:sz w:val="24"/>
          <w:szCs w:val="24"/>
        </w:rPr>
        <w:t xml:space="preserve"> ostvarenja </w:t>
      </w:r>
      <w:r>
        <w:rPr>
          <w:rFonts w:ascii="Times New Roman" w:hAnsi="Times New Roman" w:cs="Times New Roman"/>
          <w:b/>
          <w:sz w:val="24"/>
          <w:szCs w:val="24"/>
        </w:rPr>
        <w:t>plana rashoda u razdoblju 01-</w:t>
      </w:r>
      <w:r w:rsidR="00ED5C6A">
        <w:rPr>
          <w:rFonts w:ascii="Times New Roman" w:hAnsi="Times New Roman" w:cs="Times New Roman"/>
          <w:b/>
          <w:sz w:val="24"/>
          <w:szCs w:val="24"/>
        </w:rPr>
        <w:t>12</w:t>
      </w:r>
      <w:r>
        <w:rPr>
          <w:rFonts w:ascii="Times New Roman" w:hAnsi="Times New Roman" w:cs="Times New Roman"/>
          <w:b/>
          <w:sz w:val="24"/>
          <w:szCs w:val="24"/>
        </w:rPr>
        <w:t>/2023.</w:t>
      </w:r>
    </w:p>
    <w:p w:rsidR="00B25C63" w:rsidRPr="000D491F" w:rsidRDefault="006F3737" w:rsidP="002B2C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7057D" w:rsidRPr="000D491F">
        <w:rPr>
          <w:rFonts w:ascii="Times New Roman" w:hAnsi="Times New Roman" w:cs="Times New Roman"/>
          <w:sz w:val="24"/>
          <w:szCs w:val="24"/>
        </w:rPr>
        <w:t xml:space="preserve"> 2023. godini ostvaren je </w:t>
      </w:r>
      <w:r w:rsidR="00A7057D" w:rsidRPr="000D491F">
        <w:rPr>
          <w:rFonts w:ascii="Times New Roman" w:hAnsi="Times New Roman" w:cs="Times New Roman"/>
          <w:b/>
          <w:sz w:val="24"/>
          <w:szCs w:val="24"/>
        </w:rPr>
        <w:t xml:space="preserve">novčani </w:t>
      </w:r>
      <w:r w:rsidR="00ED5C6A" w:rsidRPr="000D491F">
        <w:rPr>
          <w:rFonts w:ascii="Times New Roman" w:hAnsi="Times New Roman" w:cs="Times New Roman"/>
          <w:b/>
          <w:sz w:val="24"/>
          <w:szCs w:val="24"/>
        </w:rPr>
        <w:t>odljev</w:t>
      </w:r>
      <w:r w:rsidR="00A7057D" w:rsidRPr="000D491F">
        <w:rPr>
          <w:rFonts w:ascii="Times New Roman" w:hAnsi="Times New Roman" w:cs="Times New Roman"/>
          <w:b/>
          <w:sz w:val="24"/>
          <w:szCs w:val="24"/>
        </w:rPr>
        <w:t xml:space="preserve"> temeljem</w:t>
      </w:r>
      <w:r w:rsidR="00A7057D" w:rsidRPr="000D491F">
        <w:rPr>
          <w:rFonts w:ascii="Times New Roman" w:hAnsi="Times New Roman" w:cs="Times New Roman"/>
          <w:sz w:val="24"/>
          <w:szCs w:val="24"/>
        </w:rPr>
        <w:t xml:space="preserve"> </w:t>
      </w:r>
      <w:r w:rsidR="00A7057D" w:rsidRPr="000D491F">
        <w:rPr>
          <w:rFonts w:ascii="Times New Roman" w:hAnsi="Times New Roman" w:cs="Times New Roman"/>
          <w:b/>
          <w:sz w:val="24"/>
          <w:szCs w:val="24"/>
        </w:rPr>
        <w:t>rashoda u visini 11.173.694,36 EUR</w:t>
      </w:r>
      <w:r w:rsidR="00A7057D" w:rsidRPr="000D491F">
        <w:rPr>
          <w:rFonts w:ascii="Times New Roman" w:hAnsi="Times New Roman" w:cs="Times New Roman"/>
          <w:sz w:val="24"/>
          <w:szCs w:val="24"/>
        </w:rPr>
        <w:t>, što čini 94,88% godišnjeg plana za 2023. godinu, te 99,08% izvršenja prihoda u istom razdoblju prethodne godine.</w:t>
      </w:r>
    </w:p>
    <w:p w:rsidR="006E12EC" w:rsidRPr="000D491F" w:rsidRDefault="006E12EC" w:rsidP="006E12EC">
      <w:pPr>
        <w:spacing w:after="0"/>
        <w:jc w:val="both"/>
        <w:rPr>
          <w:rFonts w:ascii="Times New Roman" w:hAnsi="Times New Roman" w:cs="Times New Roman"/>
          <w:sz w:val="24"/>
          <w:szCs w:val="24"/>
        </w:rPr>
      </w:pPr>
      <w:r w:rsidRPr="000D491F">
        <w:rPr>
          <w:rFonts w:ascii="Times New Roman" w:hAnsi="Times New Roman" w:cs="Times New Roman"/>
          <w:sz w:val="24"/>
          <w:szCs w:val="24"/>
        </w:rPr>
        <w:t>Podaci plana se odnose na rebalans financijskog plana usvojen dana 20.12.2023.</w:t>
      </w:r>
    </w:p>
    <w:p w:rsidR="006E12EC" w:rsidRPr="000D491F" w:rsidRDefault="006E12EC" w:rsidP="002B2C1E">
      <w:pPr>
        <w:spacing w:after="0" w:line="240" w:lineRule="auto"/>
        <w:jc w:val="both"/>
        <w:rPr>
          <w:rFonts w:ascii="Times New Roman" w:hAnsi="Times New Roman" w:cs="Times New Roman"/>
          <w:sz w:val="24"/>
          <w:szCs w:val="24"/>
        </w:rPr>
      </w:pPr>
    </w:p>
    <w:p w:rsidR="00567F55" w:rsidRPr="000D491F" w:rsidRDefault="00567F55" w:rsidP="00567F55">
      <w:pPr>
        <w:spacing w:after="0" w:line="256" w:lineRule="auto"/>
        <w:jc w:val="both"/>
        <w:rPr>
          <w:rFonts w:ascii="Times New Roman" w:hAnsi="Times New Roman" w:cs="Times New Roman"/>
          <w:sz w:val="24"/>
          <w:szCs w:val="24"/>
        </w:rPr>
      </w:pPr>
      <w:r w:rsidRPr="000D491F">
        <w:rPr>
          <w:rFonts w:ascii="Times New Roman" w:hAnsi="Times New Roman" w:cs="Times New Roman"/>
          <w:sz w:val="24"/>
          <w:szCs w:val="24"/>
        </w:rPr>
        <w:t>Na nešto niže iskazane rashode poslovanja u odnosu na plan u najvećoj mjeri su utjecali sljedeći faktori:</w:t>
      </w:r>
    </w:p>
    <w:p w:rsidR="00567F55" w:rsidRPr="000D491F" w:rsidRDefault="00567F55" w:rsidP="00567F55">
      <w:pPr>
        <w:spacing w:after="0" w:line="256" w:lineRule="auto"/>
        <w:jc w:val="both"/>
        <w:rPr>
          <w:rFonts w:ascii="Times New Roman" w:hAnsi="Times New Roman" w:cs="Times New Roman"/>
          <w:sz w:val="24"/>
          <w:szCs w:val="24"/>
        </w:rPr>
      </w:pPr>
      <w:r w:rsidRPr="000D491F">
        <w:rPr>
          <w:rFonts w:ascii="Times New Roman" w:hAnsi="Times New Roman" w:cs="Times New Roman"/>
          <w:sz w:val="24"/>
          <w:szCs w:val="24"/>
        </w:rPr>
        <w:t>-dinamika realizacije postojećih projekata;</w:t>
      </w:r>
    </w:p>
    <w:p w:rsidR="00567F55" w:rsidRPr="000D491F" w:rsidRDefault="00567F55" w:rsidP="00567F55">
      <w:pPr>
        <w:spacing w:after="0" w:line="256" w:lineRule="auto"/>
        <w:jc w:val="both"/>
        <w:rPr>
          <w:rFonts w:ascii="Times New Roman" w:hAnsi="Times New Roman" w:cs="Times New Roman"/>
          <w:sz w:val="24"/>
          <w:szCs w:val="24"/>
        </w:rPr>
      </w:pPr>
      <w:r w:rsidRPr="000D491F">
        <w:rPr>
          <w:rFonts w:ascii="Times New Roman" w:hAnsi="Times New Roman" w:cs="Times New Roman"/>
          <w:sz w:val="24"/>
          <w:szCs w:val="24"/>
        </w:rPr>
        <w:t>- nešto niža ulaganja u dugotrajnu imovinu u odnosu na planirano;</w:t>
      </w:r>
    </w:p>
    <w:p w:rsidR="00567F55" w:rsidRPr="000D491F" w:rsidRDefault="00567F55" w:rsidP="00567F55">
      <w:pPr>
        <w:spacing w:after="0" w:line="256" w:lineRule="auto"/>
        <w:jc w:val="both"/>
        <w:rPr>
          <w:rFonts w:ascii="Times New Roman" w:hAnsi="Times New Roman" w:cs="Times New Roman"/>
          <w:sz w:val="24"/>
          <w:szCs w:val="24"/>
        </w:rPr>
      </w:pPr>
      <w:r w:rsidRPr="000D491F">
        <w:rPr>
          <w:rFonts w:ascii="Times New Roman" w:hAnsi="Times New Roman" w:cs="Times New Roman"/>
          <w:sz w:val="24"/>
          <w:szCs w:val="24"/>
        </w:rPr>
        <w:t>- racionalizacija troškova poslovanja;</w:t>
      </w:r>
    </w:p>
    <w:p w:rsidR="00567F55" w:rsidRPr="000D491F" w:rsidRDefault="00567F55" w:rsidP="00567F55">
      <w:pPr>
        <w:spacing w:after="0" w:line="256" w:lineRule="auto"/>
        <w:jc w:val="both"/>
        <w:rPr>
          <w:rFonts w:ascii="Times New Roman" w:hAnsi="Times New Roman" w:cs="Times New Roman"/>
          <w:sz w:val="24"/>
          <w:szCs w:val="24"/>
        </w:rPr>
      </w:pPr>
      <w:r w:rsidRPr="000D491F">
        <w:rPr>
          <w:rFonts w:ascii="Times New Roman" w:hAnsi="Times New Roman" w:cs="Times New Roman"/>
          <w:sz w:val="24"/>
          <w:szCs w:val="24"/>
        </w:rPr>
        <w:t xml:space="preserve">- </w:t>
      </w:r>
      <w:r w:rsidR="00331A8F" w:rsidRPr="000D491F">
        <w:rPr>
          <w:rFonts w:ascii="Times New Roman" w:hAnsi="Times New Roman" w:cs="Times New Roman"/>
          <w:sz w:val="24"/>
          <w:szCs w:val="24"/>
        </w:rPr>
        <w:t>nepodmirivanje</w:t>
      </w:r>
      <w:r w:rsidRPr="000D491F">
        <w:rPr>
          <w:rFonts w:ascii="Times New Roman" w:hAnsi="Times New Roman" w:cs="Times New Roman"/>
          <w:sz w:val="24"/>
          <w:szCs w:val="24"/>
        </w:rPr>
        <w:t xml:space="preserve"> </w:t>
      </w:r>
      <w:r w:rsidR="00331A8F" w:rsidRPr="000D491F">
        <w:rPr>
          <w:rFonts w:ascii="Times New Roman" w:hAnsi="Times New Roman" w:cs="Times New Roman"/>
          <w:sz w:val="24"/>
          <w:szCs w:val="24"/>
        </w:rPr>
        <w:t xml:space="preserve">u cijelosti </w:t>
      </w:r>
      <w:r w:rsidRPr="000D491F">
        <w:rPr>
          <w:rFonts w:ascii="Times New Roman" w:hAnsi="Times New Roman" w:cs="Times New Roman"/>
          <w:sz w:val="24"/>
          <w:szCs w:val="24"/>
        </w:rPr>
        <w:t>obavez</w:t>
      </w:r>
      <w:r w:rsidR="00331A8F" w:rsidRPr="000D491F">
        <w:rPr>
          <w:rFonts w:ascii="Times New Roman" w:hAnsi="Times New Roman" w:cs="Times New Roman"/>
          <w:sz w:val="24"/>
          <w:szCs w:val="24"/>
        </w:rPr>
        <w:t>a</w:t>
      </w:r>
      <w:r w:rsidRPr="000D491F">
        <w:rPr>
          <w:rFonts w:ascii="Times New Roman" w:hAnsi="Times New Roman" w:cs="Times New Roman"/>
          <w:sz w:val="24"/>
          <w:szCs w:val="24"/>
        </w:rPr>
        <w:t xml:space="preserve"> prema </w:t>
      </w:r>
      <w:proofErr w:type="spellStart"/>
      <w:r w:rsidRPr="000D491F">
        <w:rPr>
          <w:rFonts w:ascii="Times New Roman" w:hAnsi="Times New Roman" w:cs="Times New Roman"/>
          <w:sz w:val="24"/>
          <w:szCs w:val="24"/>
        </w:rPr>
        <w:t>Regiomed</w:t>
      </w:r>
      <w:proofErr w:type="spellEnd"/>
      <w:r w:rsidR="00331A8F" w:rsidRPr="000D491F">
        <w:rPr>
          <w:rFonts w:ascii="Times New Roman" w:hAnsi="Times New Roman" w:cs="Times New Roman"/>
          <w:sz w:val="24"/>
          <w:szCs w:val="24"/>
        </w:rPr>
        <w:t xml:space="preserve"> </w:t>
      </w:r>
      <w:proofErr w:type="spellStart"/>
      <w:r w:rsidR="00331A8F" w:rsidRPr="000D491F">
        <w:rPr>
          <w:rFonts w:ascii="Times New Roman" w:hAnsi="Times New Roman" w:cs="Times New Roman"/>
          <w:sz w:val="24"/>
          <w:szCs w:val="24"/>
        </w:rPr>
        <w:t>Kliniken</w:t>
      </w:r>
      <w:proofErr w:type="spellEnd"/>
      <w:r w:rsidRPr="000D491F">
        <w:rPr>
          <w:rFonts w:ascii="Times New Roman" w:hAnsi="Times New Roman" w:cs="Times New Roman"/>
          <w:sz w:val="24"/>
          <w:szCs w:val="24"/>
        </w:rPr>
        <w:t xml:space="preserve"> (dio školarina studija Medicine na engleskom jeziku za 4., 5. i 6. godinu za koje se nastava odvija u </w:t>
      </w:r>
      <w:proofErr w:type="spellStart"/>
      <w:r w:rsidRPr="000D491F">
        <w:rPr>
          <w:rFonts w:ascii="Times New Roman" w:hAnsi="Times New Roman" w:cs="Times New Roman"/>
          <w:sz w:val="24"/>
          <w:szCs w:val="24"/>
        </w:rPr>
        <w:t>Coburgu</w:t>
      </w:r>
      <w:proofErr w:type="spellEnd"/>
      <w:r w:rsidRPr="000D491F">
        <w:rPr>
          <w:rFonts w:ascii="Times New Roman" w:hAnsi="Times New Roman" w:cs="Times New Roman"/>
          <w:sz w:val="24"/>
          <w:szCs w:val="24"/>
        </w:rPr>
        <w:t xml:space="preserve">) radi revizije postojećeg ugovora sa </w:t>
      </w:r>
      <w:proofErr w:type="spellStart"/>
      <w:r w:rsidRPr="000D491F">
        <w:rPr>
          <w:rFonts w:ascii="Times New Roman" w:hAnsi="Times New Roman" w:cs="Times New Roman"/>
          <w:sz w:val="24"/>
          <w:szCs w:val="24"/>
        </w:rPr>
        <w:t>Regiomedom</w:t>
      </w:r>
      <w:proofErr w:type="spellEnd"/>
      <w:r w:rsidRPr="000D491F">
        <w:rPr>
          <w:rFonts w:ascii="Times New Roman" w:hAnsi="Times New Roman" w:cs="Times New Roman"/>
          <w:sz w:val="24"/>
          <w:szCs w:val="24"/>
        </w:rPr>
        <w:t xml:space="preserve"> koja je u tijeku</w:t>
      </w:r>
      <w:r w:rsidR="000D491F">
        <w:rPr>
          <w:rFonts w:ascii="Times New Roman" w:hAnsi="Times New Roman" w:cs="Times New Roman"/>
          <w:sz w:val="24"/>
          <w:szCs w:val="24"/>
        </w:rPr>
        <w:t>.</w:t>
      </w:r>
    </w:p>
    <w:p w:rsidR="000D491F" w:rsidRPr="000D491F" w:rsidRDefault="00567F55" w:rsidP="00331A8F">
      <w:pPr>
        <w:spacing w:after="0" w:line="256" w:lineRule="auto"/>
        <w:jc w:val="both"/>
        <w:rPr>
          <w:rFonts w:ascii="Times New Roman" w:hAnsi="Times New Roman" w:cs="Times New Roman"/>
          <w:sz w:val="24"/>
          <w:szCs w:val="24"/>
        </w:rPr>
      </w:pPr>
      <w:r w:rsidRPr="000D491F">
        <w:rPr>
          <w:rFonts w:ascii="Times New Roman" w:hAnsi="Times New Roman" w:cs="Times New Roman"/>
          <w:sz w:val="24"/>
          <w:szCs w:val="24"/>
        </w:rPr>
        <w:t xml:space="preserve"> </w:t>
      </w:r>
    </w:p>
    <w:p w:rsidR="0038498E" w:rsidRPr="000D491F" w:rsidRDefault="004B118E" w:rsidP="00331A8F">
      <w:pPr>
        <w:spacing w:after="0" w:line="256" w:lineRule="auto"/>
        <w:jc w:val="both"/>
        <w:rPr>
          <w:rFonts w:ascii="Times New Roman" w:hAnsi="Times New Roman" w:cs="Times New Roman"/>
          <w:b/>
          <w:sz w:val="24"/>
          <w:szCs w:val="24"/>
        </w:rPr>
      </w:pPr>
      <w:r w:rsidRPr="000D491F">
        <w:rPr>
          <w:rFonts w:ascii="Times New Roman" w:hAnsi="Times New Roman" w:cs="Times New Roman"/>
          <w:b/>
          <w:sz w:val="24"/>
          <w:szCs w:val="24"/>
        </w:rPr>
        <w:t>Izvršenje rashoda po ekonomskoj klasifikaciji</w:t>
      </w:r>
    </w:p>
    <w:p w:rsidR="0038498E" w:rsidRDefault="0038498E" w:rsidP="00331A8F">
      <w:pPr>
        <w:spacing w:after="0" w:line="256" w:lineRule="auto"/>
        <w:jc w:val="both"/>
        <w:rPr>
          <w:rFonts w:ascii="Times New Roman" w:hAnsi="Times New Roman" w:cs="Times New Roman"/>
          <w:b/>
          <w:sz w:val="24"/>
          <w:szCs w:val="24"/>
        </w:rPr>
      </w:pPr>
    </w:p>
    <w:p w:rsidR="004B118E" w:rsidRDefault="0038498E" w:rsidP="00331A8F">
      <w:pPr>
        <w:spacing w:after="0" w:line="256" w:lineRule="auto"/>
        <w:jc w:val="both"/>
        <w:rPr>
          <w:rFonts w:ascii="Times New Roman" w:hAnsi="Times New Roman" w:cs="Times New Roman"/>
          <w:sz w:val="24"/>
          <w:szCs w:val="24"/>
        </w:rPr>
      </w:pPr>
      <w:r>
        <w:rPr>
          <w:rFonts w:ascii="Times New Roman" w:hAnsi="Times New Roman" w:cs="Times New Roman"/>
          <w:sz w:val="24"/>
          <w:szCs w:val="24"/>
        </w:rPr>
        <w:t>R</w:t>
      </w:r>
      <w:r w:rsidR="004B118E">
        <w:rPr>
          <w:rFonts w:ascii="Times New Roman" w:hAnsi="Times New Roman" w:cs="Times New Roman"/>
          <w:sz w:val="24"/>
          <w:szCs w:val="24"/>
        </w:rPr>
        <w:t xml:space="preserve">ealizacija rashoda za zaposlene </w:t>
      </w:r>
      <w:r w:rsidR="00225AFE">
        <w:rPr>
          <w:rFonts w:ascii="Times New Roman" w:hAnsi="Times New Roman" w:cs="Times New Roman"/>
          <w:sz w:val="24"/>
          <w:szCs w:val="24"/>
        </w:rPr>
        <w:t xml:space="preserve">(konta skupine 31) </w:t>
      </w:r>
      <w:r w:rsidR="004B118E">
        <w:rPr>
          <w:rFonts w:ascii="Times New Roman" w:hAnsi="Times New Roman" w:cs="Times New Roman"/>
          <w:sz w:val="24"/>
          <w:szCs w:val="24"/>
        </w:rPr>
        <w:t>je ostvarena u visini 97,38%</w:t>
      </w:r>
      <w:r w:rsidR="00225AFE">
        <w:rPr>
          <w:rFonts w:ascii="Times New Roman" w:hAnsi="Times New Roman" w:cs="Times New Roman"/>
          <w:sz w:val="24"/>
          <w:szCs w:val="24"/>
        </w:rPr>
        <w:t xml:space="preserve"> od plana te 106,58% od realizacije prethodne godine;</w:t>
      </w:r>
      <w:r w:rsidR="004B118E">
        <w:rPr>
          <w:rFonts w:ascii="Times New Roman" w:hAnsi="Times New Roman" w:cs="Times New Roman"/>
          <w:sz w:val="24"/>
          <w:szCs w:val="24"/>
        </w:rPr>
        <w:t xml:space="preserve"> za materijalne rashode </w:t>
      </w:r>
      <w:r w:rsidR="00225AFE">
        <w:rPr>
          <w:rFonts w:ascii="Times New Roman" w:hAnsi="Times New Roman" w:cs="Times New Roman"/>
          <w:sz w:val="24"/>
          <w:szCs w:val="24"/>
        </w:rPr>
        <w:t xml:space="preserve">(konta 32) </w:t>
      </w:r>
      <w:r w:rsidR="004B118E">
        <w:rPr>
          <w:rFonts w:ascii="Times New Roman" w:hAnsi="Times New Roman" w:cs="Times New Roman"/>
          <w:sz w:val="24"/>
          <w:szCs w:val="24"/>
        </w:rPr>
        <w:t>u visini 91,42%</w:t>
      </w:r>
      <w:r w:rsidR="00225AFE">
        <w:rPr>
          <w:rFonts w:ascii="Times New Roman" w:hAnsi="Times New Roman" w:cs="Times New Roman"/>
          <w:sz w:val="24"/>
          <w:szCs w:val="24"/>
        </w:rPr>
        <w:t xml:space="preserve"> u odnosu na plan te 97,81% u odnosu na prethodnu godinu; za  pomoći dane u inozemstvo i unutar </w:t>
      </w:r>
      <w:r w:rsidR="00225AFE">
        <w:rPr>
          <w:rFonts w:ascii="Times New Roman" w:hAnsi="Times New Roman" w:cs="Times New Roman"/>
          <w:sz w:val="24"/>
          <w:szCs w:val="24"/>
        </w:rPr>
        <w:lastRenderedPageBreak/>
        <w:t>općeg proračuna (konta 36) rashodi su realizirani u visini 93,79% u odnosu na plan, te 30,08% u odnosu na prethodnu godinu (</w:t>
      </w:r>
      <w:r w:rsidR="00685434">
        <w:rPr>
          <w:rFonts w:ascii="Times New Roman" w:hAnsi="Times New Roman" w:cs="Times New Roman"/>
          <w:sz w:val="24"/>
          <w:szCs w:val="24"/>
        </w:rPr>
        <w:t xml:space="preserve">značajno ovisi o fazama projekata jer se većim dijelom </w:t>
      </w:r>
      <w:r w:rsidR="00225AFE">
        <w:rPr>
          <w:rFonts w:ascii="Times New Roman" w:hAnsi="Times New Roman" w:cs="Times New Roman"/>
          <w:sz w:val="24"/>
          <w:szCs w:val="24"/>
        </w:rPr>
        <w:t>radi o isplatama partnerima na projektima</w:t>
      </w:r>
      <w:r w:rsidR="00685434">
        <w:rPr>
          <w:rFonts w:ascii="Times New Roman" w:hAnsi="Times New Roman" w:cs="Times New Roman"/>
          <w:sz w:val="24"/>
          <w:szCs w:val="24"/>
        </w:rPr>
        <w:t>)</w:t>
      </w:r>
      <w:r w:rsidR="004B118E">
        <w:rPr>
          <w:rFonts w:ascii="Times New Roman" w:hAnsi="Times New Roman" w:cs="Times New Roman"/>
          <w:sz w:val="24"/>
          <w:szCs w:val="24"/>
        </w:rPr>
        <w:t>.</w:t>
      </w:r>
      <w:r w:rsidR="001813C2">
        <w:rPr>
          <w:rFonts w:ascii="Times New Roman" w:hAnsi="Times New Roman" w:cs="Times New Roman"/>
          <w:sz w:val="24"/>
          <w:szCs w:val="24"/>
        </w:rPr>
        <w:t xml:space="preserve"> </w:t>
      </w:r>
      <w:r w:rsidR="004B118E">
        <w:rPr>
          <w:rFonts w:ascii="Times New Roman" w:hAnsi="Times New Roman" w:cs="Times New Roman"/>
          <w:sz w:val="24"/>
          <w:szCs w:val="24"/>
        </w:rPr>
        <w:t xml:space="preserve">Nešto veće odstupanje od plana je zabilježeno kod </w:t>
      </w:r>
      <w:r w:rsidR="00685434">
        <w:rPr>
          <w:rFonts w:ascii="Times New Roman" w:hAnsi="Times New Roman" w:cs="Times New Roman"/>
          <w:sz w:val="24"/>
          <w:szCs w:val="24"/>
        </w:rPr>
        <w:t>izvršenja rashoda za nabavu proizvedene dugotrajne imovine (konta skupine 42); u 2023. godini je realizirano 76,24% plana, te 46,91% od izvršenja prethodne godine.</w:t>
      </w:r>
    </w:p>
    <w:p w:rsidR="00685434" w:rsidRPr="004B118E" w:rsidRDefault="00685434" w:rsidP="00331A8F">
      <w:pPr>
        <w:spacing w:after="0" w:line="256" w:lineRule="auto"/>
        <w:jc w:val="both"/>
        <w:rPr>
          <w:rFonts w:ascii="Times New Roman" w:hAnsi="Times New Roman" w:cs="Times New Roman"/>
          <w:sz w:val="24"/>
          <w:szCs w:val="24"/>
        </w:rPr>
      </w:pPr>
    </w:p>
    <w:p w:rsidR="00F92CDA" w:rsidRPr="00F92CDA" w:rsidRDefault="00F92CDA" w:rsidP="00331A8F">
      <w:pPr>
        <w:spacing w:after="0" w:line="256" w:lineRule="auto"/>
        <w:jc w:val="both"/>
        <w:rPr>
          <w:rFonts w:ascii="Times New Roman" w:hAnsi="Times New Roman" w:cs="Times New Roman"/>
          <w:b/>
          <w:sz w:val="24"/>
          <w:szCs w:val="24"/>
        </w:rPr>
      </w:pPr>
      <w:r w:rsidRPr="00F92CDA">
        <w:rPr>
          <w:rFonts w:ascii="Times New Roman" w:hAnsi="Times New Roman" w:cs="Times New Roman"/>
          <w:b/>
          <w:sz w:val="24"/>
          <w:szCs w:val="24"/>
        </w:rPr>
        <w:t>Izvršenje rashoda po izvorima</w:t>
      </w:r>
    </w:p>
    <w:p w:rsidR="00F92CDA" w:rsidRDefault="00F92CDA" w:rsidP="00331A8F">
      <w:pPr>
        <w:spacing w:after="0" w:line="256" w:lineRule="auto"/>
        <w:jc w:val="both"/>
        <w:rPr>
          <w:rFonts w:ascii="Times New Roman" w:hAnsi="Times New Roman" w:cs="Times New Roman"/>
          <w:sz w:val="24"/>
          <w:szCs w:val="24"/>
          <w:highlight w:val="cyan"/>
        </w:rPr>
      </w:pPr>
    </w:p>
    <w:p w:rsidR="00ED5C6A" w:rsidRDefault="00ED5C6A" w:rsidP="00ED5C6A">
      <w:pPr>
        <w:jc w:val="both"/>
        <w:rPr>
          <w:rFonts w:ascii="Times New Roman" w:hAnsi="Times New Roman" w:cs="Times New Roman"/>
          <w:sz w:val="24"/>
          <w:szCs w:val="24"/>
        </w:rPr>
      </w:pPr>
      <w:r w:rsidRPr="00923723">
        <w:rPr>
          <w:rFonts w:ascii="Times New Roman" w:hAnsi="Times New Roman" w:cs="Times New Roman"/>
          <w:b/>
          <w:sz w:val="24"/>
          <w:szCs w:val="24"/>
        </w:rPr>
        <w:t>Rashodi iz izvora 1</w:t>
      </w:r>
      <w:r w:rsidR="00567F55">
        <w:rPr>
          <w:rFonts w:ascii="Times New Roman" w:hAnsi="Times New Roman" w:cs="Times New Roman"/>
          <w:b/>
          <w:sz w:val="24"/>
          <w:szCs w:val="24"/>
        </w:rPr>
        <w:t>1</w:t>
      </w:r>
      <w:r w:rsidRPr="00CB596E">
        <w:rPr>
          <w:rFonts w:ascii="Times New Roman" w:hAnsi="Times New Roman" w:cs="Times New Roman"/>
          <w:sz w:val="24"/>
          <w:szCs w:val="24"/>
        </w:rPr>
        <w:t xml:space="preserve"> </w:t>
      </w:r>
      <w:r w:rsidR="003D43B7">
        <w:rPr>
          <w:rFonts w:ascii="Times New Roman" w:hAnsi="Times New Roman" w:cs="Times New Roman"/>
          <w:sz w:val="24"/>
          <w:szCs w:val="24"/>
        </w:rPr>
        <w:t xml:space="preserve">su </w:t>
      </w:r>
      <w:r w:rsidRPr="00CB596E">
        <w:rPr>
          <w:rFonts w:ascii="Times New Roman" w:hAnsi="Times New Roman" w:cs="Times New Roman"/>
          <w:sz w:val="24"/>
          <w:szCs w:val="24"/>
        </w:rPr>
        <w:t xml:space="preserve"> realiziran</w:t>
      </w:r>
      <w:r w:rsidR="00567F55">
        <w:rPr>
          <w:rFonts w:ascii="Times New Roman" w:hAnsi="Times New Roman" w:cs="Times New Roman"/>
          <w:sz w:val="24"/>
          <w:szCs w:val="24"/>
        </w:rPr>
        <w:t>i</w:t>
      </w:r>
      <w:r w:rsidR="00F30755">
        <w:rPr>
          <w:rFonts w:ascii="Times New Roman" w:hAnsi="Times New Roman" w:cs="Times New Roman"/>
          <w:sz w:val="24"/>
          <w:szCs w:val="24"/>
        </w:rPr>
        <w:t xml:space="preserve"> u visini</w:t>
      </w:r>
      <w:r w:rsidRPr="00CB596E">
        <w:rPr>
          <w:rFonts w:ascii="Times New Roman" w:hAnsi="Times New Roman" w:cs="Times New Roman"/>
          <w:sz w:val="24"/>
          <w:szCs w:val="24"/>
        </w:rPr>
        <w:t xml:space="preserve"> </w:t>
      </w:r>
      <w:r w:rsidR="00567F55">
        <w:rPr>
          <w:rFonts w:ascii="Times New Roman" w:hAnsi="Times New Roman" w:cs="Times New Roman"/>
          <w:sz w:val="24"/>
          <w:szCs w:val="24"/>
        </w:rPr>
        <w:t>97,25</w:t>
      </w:r>
      <w:r w:rsidRPr="00CB596E">
        <w:rPr>
          <w:rFonts w:ascii="Times New Roman" w:hAnsi="Times New Roman" w:cs="Times New Roman"/>
          <w:sz w:val="24"/>
          <w:szCs w:val="24"/>
        </w:rPr>
        <w:t xml:space="preserve">% od plana, te </w:t>
      </w:r>
      <w:r>
        <w:rPr>
          <w:rFonts w:ascii="Times New Roman" w:hAnsi="Times New Roman" w:cs="Times New Roman"/>
          <w:sz w:val="24"/>
          <w:szCs w:val="24"/>
        </w:rPr>
        <w:t>105,69</w:t>
      </w:r>
      <w:r w:rsidRPr="00CB596E">
        <w:rPr>
          <w:rFonts w:ascii="Times New Roman" w:hAnsi="Times New Roman" w:cs="Times New Roman"/>
          <w:sz w:val="24"/>
          <w:szCs w:val="24"/>
        </w:rPr>
        <w:t>% od prošlogodišnjeg izvršenja.</w:t>
      </w:r>
      <w:r>
        <w:rPr>
          <w:rFonts w:ascii="Times New Roman" w:hAnsi="Times New Roman" w:cs="Times New Roman"/>
          <w:sz w:val="24"/>
          <w:szCs w:val="24"/>
        </w:rPr>
        <w:t xml:space="preserve"> </w:t>
      </w:r>
      <w:r w:rsidRPr="003F3193">
        <w:rPr>
          <w:rFonts w:ascii="Times New Roman" w:hAnsi="Times New Roman" w:cs="Times New Roman"/>
          <w:sz w:val="24"/>
          <w:szCs w:val="24"/>
        </w:rPr>
        <w:t>Navedeno je definirano visinom sredstava primljenih iz državnog</w:t>
      </w:r>
      <w:r>
        <w:rPr>
          <w:rFonts w:ascii="Times New Roman" w:hAnsi="Times New Roman" w:cs="Times New Roman"/>
          <w:sz w:val="24"/>
          <w:szCs w:val="24"/>
        </w:rPr>
        <w:t xml:space="preserve"> proračuna.</w:t>
      </w:r>
    </w:p>
    <w:p w:rsidR="00331A8F" w:rsidRDefault="00923723" w:rsidP="00ED5C6A">
      <w:pPr>
        <w:jc w:val="both"/>
        <w:rPr>
          <w:rFonts w:ascii="Times New Roman" w:hAnsi="Times New Roman" w:cs="Times New Roman"/>
          <w:sz w:val="24"/>
          <w:szCs w:val="24"/>
        </w:rPr>
      </w:pPr>
      <w:r>
        <w:rPr>
          <w:rFonts w:ascii="Times New Roman" w:hAnsi="Times New Roman" w:cs="Times New Roman"/>
          <w:sz w:val="24"/>
          <w:szCs w:val="24"/>
        </w:rPr>
        <w:t>Rashodi</w:t>
      </w:r>
      <w:r w:rsidRPr="00CB596E">
        <w:rPr>
          <w:rFonts w:ascii="Times New Roman" w:hAnsi="Times New Roman" w:cs="Times New Roman"/>
          <w:sz w:val="24"/>
          <w:szCs w:val="24"/>
        </w:rPr>
        <w:t xml:space="preserve"> iz </w:t>
      </w:r>
      <w:r w:rsidRPr="00331A8F">
        <w:rPr>
          <w:rFonts w:ascii="Times New Roman" w:hAnsi="Times New Roman" w:cs="Times New Roman"/>
          <w:b/>
          <w:sz w:val="24"/>
          <w:szCs w:val="24"/>
        </w:rPr>
        <w:t>izvora 1</w:t>
      </w:r>
      <w:r w:rsidRPr="00F30755">
        <w:rPr>
          <w:rFonts w:ascii="Times New Roman" w:hAnsi="Times New Roman" w:cs="Times New Roman"/>
          <w:b/>
          <w:sz w:val="24"/>
          <w:szCs w:val="24"/>
        </w:rPr>
        <w:t>2</w:t>
      </w:r>
      <w:r w:rsidRPr="00CB596E">
        <w:rPr>
          <w:rFonts w:ascii="Times New Roman" w:hAnsi="Times New Roman" w:cs="Times New Roman"/>
          <w:sz w:val="24"/>
          <w:szCs w:val="24"/>
        </w:rPr>
        <w:t xml:space="preserve"> </w:t>
      </w:r>
      <w:r w:rsidR="00331A8F" w:rsidRPr="003F3193">
        <w:rPr>
          <w:rFonts w:ascii="Times New Roman" w:hAnsi="Times New Roman" w:cs="Times New Roman"/>
          <w:b/>
          <w:sz w:val="24"/>
          <w:szCs w:val="24"/>
        </w:rPr>
        <w:t>Sredstva učešća za pomoći (</w:t>
      </w:r>
      <w:r w:rsidR="00331A8F" w:rsidRPr="003F3193">
        <w:rPr>
          <w:rFonts w:ascii="Times New Roman" w:hAnsi="Times New Roman" w:cs="Times New Roman"/>
          <w:sz w:val="24"/>
          <w:szCs w:val="24"/>
        </w:rPr>
        <w:t>učešće državnog proračuna u EU projektima)</w:t>
      </w:r>
      <w:r w:rsidRPr="00CB596E">
        <w:rPr>
          <w:rFonts w:ascii="Times New Roman" w:hAnsi="Times New Roman" w:cs="Times New Roman"/>
          <w:sz w:val="24"/>
          <w:szCs w:val="24"/>
        </w:rPr>
        <w:t xml:space="preserve"> su ostvareni u visini </w:t>
      </w:r>
      <w:r w:rsidR="00331A8F">
        <w:rPr>
          <w:rFonts w:ascii="Times New Roman" w:hAnsi="Times New Roman" w:cs="Times New Roman"/>
          <w:sz w:val="24"/>
          <w:szCs w:val="24"/>
        </w:rPr>
        <w:t>94,42</w:t>
      </w:r>
      <w:r w:rsidRPr="00CB596E">
        <w:rPr>
          <w:rFonts w:ascii="Times New Roman" w:hAnsi="Times New Roman" w:cs="Times New Roman"/>
          <w:sz w:val="24"/>
          <w:szCs w:val="24"/>
        </w:rPr>
        <w:t xml:space="preserve">% od planiranih te  </w:t>
      </w:r>
      <w:r w:rsidR="00331A8F">
        <w:rPr>
          <w:rFonts w:ascii="Times New Roman" w:hAnsi="Times New Roman" w:cs="Times New Roman"/>
          <w:sz w:val="24"/>
          <w:szCs w:val="24"/>
        </w:rPr>
        <w:t>17,5</w:t>
      </w:r>
      <w:r w:rsidRPr="00CB596E">
        <w:rPr>
          <w:rFonts w:ascii="Times New Roman" w:hAnsi="Times New Roman" w:cs="Times New Roman"/>
          <w:sz w:val="24"/>
          <w:szCs w:val="24"/>
        </w:rPr>
        <w:t>% od izvršenih prethodne godine</w:t>
      </w:r>
      <w:r w:rsidR="00331A8F">
        <w:rPr>
          <w:rFonts w:ascii="Times New Roman" w:hAnsi="Times New Roman" w:cs="Times New Roman"/>
          <w:sz w:val="24"/>
          <w:szCs w:val="24"/>
        </w:rPr>
        <w:t>.</w:t>
      </w:r>
    </w:p>
    <w:p w:rsidR="00331A8F" w:rsidRPr="00CB596E" w:rsidRDefault="00331A8F" w:rsidP="00331A8F">
      <w:pPr>
        <w:jc w:val="both"/>
        <w:rPr>
          <w:rFonts w:ascii="Times New Roman" w:hAnsi="Times New Roman" w:cs="Times New Roman"/>
          <w:sz w:val="24"/>
          <w:szCs w:val="24"/>
        </w:rPr>
      </w:pPr>
      <w:r w:rsidRPr="00CB596E">
        <w:rPr>
          <w:rFonts w:ascii="Times New Roman" w:hAnsi="Times New Roman" w:cs="Times New Roman"/>
          <w:sz w:val="24"/>
          <w:szCs w:val="24"/>
        </w:rPr>
        <w:t xml:space="preserve">Rashodi iz </w:t>
      </w:r>
      <w:r w:rsidRPr="00331A8F">
        <w:rPr>
          <w:rFonts w:ascii="Times New Roman" w:hAnsi="Times New Roman" w:cs="Times New Roman"/>
          <w:b/>
          <w:sz w:val="24"/>
          <w:szCs w:val="24"/>
        </w:rPr>
        <w:t>izvora 31</w:t>
      </w:r>
      <w:r w:rsidRPr="00CB596E">
        <w:rPr>
          <w:rFonts w:ascii="Times New Roman" w:hAnsi="Times New Roman" w:cs="Times New Roman"/>
          <w:sz w:val="24"/>
          <w:szCs w:val="24"/>
        </w:rPr>
        <w:t xml:space="preserve"> su ostvareni u visini </w:t>
      </w:r>
      <w:r>
        <w:rPr>
          <w:rFonts w:ascii="Times New Roman" w:hAnsi="Times New Roman" w:cs="Times New Roman"/>
          <w:sz w:val="24"/>
          <w:szCs w:val="24"/>
        </w:rPr>
        <w:t>97,56</w:t>
      </w:r>
      <w:r w:rsidRPr="00CB596E">
        <w:rPr>
          <w:rFonts w:ascii="Times New Roman" w:hAnsi="Times New Roman" w:cs="Times New Roman"/>
          <w:sz w:val="24"/>
          <w:szCs w:val="24"/>
        </w:rPr>
        <w:t xml:space="preserve">% planiranih, te </w:t>
      </w:r>
      <w:r w:rsidR="009E478A">
        <w:rPr>
          <w:rFonts w:ascii="Times New Roman" w:hAnsi="Times New Roman" w:cs="Times New Roman"/>
          <w:sz w:val="24"/>
          <w:szCs w:val="24"/>
        </w:rPr>
        <w:t>52,36</w:t>
      </w:r>
      <w:r w:rsidRPr="00CB596E">
        <w:rPr>
          <w:rFonts w:ascii="Times New Roman" w:hAnsi="Times New Roman" w:cs="Times New Roman"/>
          <w:sz w:val="24"/>
          <w:szCs w:val="24"/>
        </w:rPr>
        <w:t>% prošlogodišnjih. Naime, ovi rashodi ovise o fazi realizaciji projekata za tržište te dinamici organiziranja tečajeva, kongresa i sl.</w:t>
      </w:r>
    </w:p>
    <w:p w:rsidR="00ED5C6A" w:rsidRPr="00CB596E" w:rsidRDefault="00ED5C6A" w:rsidP="00ED5C6A">
      <w:pPr>
        <w:jc w:val="both"/>
        <w:rPr>
          <w:rFonts w:ascii="Times New Roman" w:hAnsi="Times New Roman" w:cs="Times New Roman"/>
          <w:sz w:val="24"/>
          <w:szCs w:val="24"/>
        </w:rPr>
      </w:pPr>
      <w:r w:rsidRPr="009742B0">
        <w:rPr>
          <w:rFonts w:ascii="Times New Roman" w:hAnsi="Times New Roman" w:cs="Times New Roman"/>
          <w:sz w:val="24"/>
          <w:szCs w:val="24"/>
        </w:rPr>
        <w:t xml:space="preserve">Rashodi iz </w:t>
      </w:r>
      <w:r w:rsidRPr="009742B0">
        <w:rPr>
          <w:rFonts w:ascii="Times New Roman" w:hAnsi="Times New Roman" w:cs="Times New Roman"/>
          <w:b/>
          <w:sz w:val="24"/>
          <w:szCs w:val="24"/>
        </w:rPr>
        <w:t>izvora 43</w:t>
      </w:r>
      <w:r w:rsidRPr="00CB596E">
        <w:rPr>
          <w:rFonts w:ascii="Times New Roman" w:hAnsi="Times New Roman" w:cs="Times New Roman"/>
          <w:sz w:val="24"/>
          <w:szCs w:val="24"/>
        </w:rPr>
        <w:t xml:space="preserve"> (školarine) su realizirani u visini </w:t>
      </w:r>
      <w:r w:rsidR="009742B0">
        <w:rPr>
          <w:rFonts w:ascii="Times New Roman" w:hAnsi="Times New Roman" w:cs="Times New Roman"/>
          <w:sz w:val="24"/>
          <w:szCs w:val="24"/>
        </w:rPr>
        <w:t>93,08</w:t>
      </w:r>
      <w:r w:rsidRPr="00CB596E">
        <w:rPr>
          <w:rFonts w:ascii="Times New Roman" w:hAnsi="Times New Roman" w:cs="Times New Roman"/>
          <w:sz w:val="24"/>
          <w:szCs w:val="24"/>
        </w:rPr>
        <w:t xml:space="preserve">% od planiranog, te </w:t>
      </w:r>
      <w:r w:rsidR="009742B0">
        <w:rPr>
          <w:rFonts w:ascii="Times New Roman" w:hAnsi="Times New Roman" w:cs="Times New Roman"/>
          <w:sz w:val="24"/>
          <w:szCs w:val="24"/>
        </w:rPr>
        <w:t>95,51</w:t>
      </w:r>
      <w:r w:rsidRPr="00CB596E">
        <w:rPr>
          <w:rFonts w:ascii="Times New Roman" w:hAnsi="Times New Roman" w:cs="Times New Roman"/>
          <w:sz w:val="24"/>
          <w:szCs w:val="24"/>
        </w:rPr>
        <w:t xml:space="preserve">% od prošlogodišnjeg izvršenja. </w:t>
      </w:r>
    </w:p>
    <w:p w:rsidR="009742B0" w:rsidRDefault="009742B0" w:rsidP="009742B0">
      <w:pPr>
        <w:jc w:val="both"/>
        <w:rPr>
          <w:rFonts w:ascii="Times New Roman" w:hAnsi="Times New Roman" w:cs="Times New Roman"/>
          <w:sz w:val="24"/>
          <w:szCs w:val="24"/>
        </w:rPr>
      </w:pPr>
      <w:r w:rsidRPr="009742B0">
        <w:rPr>
          <w:rFonts w:ascii="Times New Roman" w:hAnsi="Times New Roman" w:cs="Times New Roman"/>
          <w:sz w:val="24"/>
          <w:szCs w:val="24"/>
        </w:rPr>
        <w:t xml:space="preserve">Rashodi iz </w:t>
      </w:r>
      <w:r w:rsidRPr="009742B0">
        <w:rPr>
          <w:rFonts w:ascii="Times New Roman" w:hAnsi="Times New Roman" w:cs="Times New Roman"/>
          <w:b/>
          <w:sz w:val="24"/>
          <w:szCs w:val="24"/>
        </w:rPr>
        <w:t>izvora 51</w:t>
      </w:r>
      <w:r w:rsidRPr="009742B0">
        <w:rPr>
          <w:rFonts w:ascii="Times New Roman" w:hAnsi="Times New Roman" w:cs="Times New Roman"/>
          <w:sz w:val="24"/>
          <w:szCs w:val="24"/>
        </w:rPr>
        <w:t xml:space="preserve"> (Obzor projekti) su ostvareni u visini 53,56% od planiranih, te 281,14% od prošlogodišnjih. Naime, dinamika realizacije rashoda u velikoj mjeri ovisi o fazi realizacije postojećih EU projekata</w:t>
      </w:r>
    </w:p>
    <w:p w:rsidR="00ED5C6A" w:rsidRDefault="009742B0" w:rsidP="00ED5C6A">
      <w:pPr>
        <w:jc w:val="both"/>
        <w:rPr>
          <w:rFonts w:ascii="Times New Roman" w:hAnsi="Times New Roman" w:cs="Times New Roman"/>
          <w:sz w:val="24"/>
          <w:szCs w:val="24"/>
        </w:rPr>
      </w:pPr>
      <w:r>
        <w:rPr>
          <w:rFonts w:ascii="Times New Roman" w:hAnsi="Times New Roman" w:cs="Times New Roman"/>
          <w:sz w:val="24"/>
          <w:szCs w:val="24"/>
        </w:rPr>
        <w:t xml:space="preserve">Rashodi </w:t>
      </w:r>
      <w:r w:rsidR="00ED5C6A" w:rsidRPr="00CB596E">
        <w:rPr>
          <w:rFonts w:ascii="Times New Roman" w:hAnsi="Times New Roman" w:cs="Times New Roman"/>
          <w:sz w:val="24"/>
          <w:szCs w:val="24"/>
        </w:rPr>
        <w:t xml:space="preserve">iz </w:t>
      </w:r>
      <w:r w:rsidR="00ED5C6A" w:rsidRPr="009742B0">
        <w:rPr>
          <w:rFonts w:ascii="Times New Roman" w:hAnsi="Times New Roman" w:cs="Times New Roman"/>
          <w:b/>
          <w:sz w:val="24"/>
          <w:szCs w:val="24"/>
        </w:rPr>
        <w:t>izvora 52</w:t>
      </w:r>
      <w:r w:rsidR="00ED5C6A" w:rsidRPr="00CB596E">
        <w:rPr>
          <w:rFonts w:ascii="Times New Roman" w:hAnsi="Times New Roman" w:cs="Times New Roman"/>
          <w:sz w:val="24"/>
          <w:szCs w:val="24"/>
        </w:rPr>
        <w:t xml:space="preserve"> (Ostale pomoći i darovnice) su u odnosu na plan realizirane u visini </w:t>
      </w:r>
      <w:r>
        <w:rPr>
          <w:rFonts w:ascii="Times New Roman" w:hAnsi="Times New Roman" w:cs="Times New Roman"/>
          <w:sz w:val="24"/>
          <w:szCs w:val="24"/>
        </w:rPr>
        <w:t>92,63</w:t>
      </w:r>
      <w:r w:rsidR="00ED5C6A" w:rsidRPr="00CB596E">
        <w:rPr>
          <w:rFonts w:ascii="Times New Roman" w:hAnsi="Times New Roman" w:cs="Times New Roman"/>
          <w:sz w:val="24"/>
          <w:szCs w:val="24"/>
        </w:rPr>
        <w:t xml:space="preserve">%, a u odnosu na prošlogodišnje ostvarenje u visini </w:t>
      </w:r>
      <w:r>
        <w:rPr>
          <w:rFonts w:ascii="Times New Roman" w:hAnsi="Times New Roman" w:cs="Times New Roman"/>
          <w:sz w:val="24"/>
          <w:szCs w:val="24"/>
        </w:rPr>
        <w:t>123,05</w:t>
      </w:r>
      <w:r w:rsidR="00ED5C6A" w:rsidRPr="00CB596E">
        <w:rPr>
          <w:rFonts w:ascii="Times New Roman" w:hAnsi="Times New Roman" w:cs="Times New Roman"/>
          <w:sz w:val="24"/>
          <w:szCs w:val="24"/>
        </w:rPr>
        <w:t>%. Ovi rashodi se uglavnom temelje na izvršenju EU projekata (sredstva za ove EU projekte stižu iz izvora 52).</w:t>
      </w:r>
    </w:p>
    <w:p w:rsidR="009742B0" w:rsidRDefault="009742B0" w:rsidP="009742B0">
      <w:pPr>
        <w:jc w:val="both"/>
        <w:rPr>
          <w:rFonts w:ascii="Times New Roman" w:hAnsi="Times New Roman" w:cs="Times New Roman"/>
          <w:sz w:val="24"/>
          <w:szCs w:val="24"/>
        </w:rPr>
      </w:pPr>
      <w:r w:rsidRPr="009742B0">
        <w:rPr>
          <w:rFonts w:ascii="Times New Roman" w:hAnsi="Times New Roman" w:cs="Times New Roman"/>
          <w:sz w:val="24"/>
          <w:szCs w:val="24"/>
        </w:rPr>
        <w:t xml:space="preserve">Rashodi iz </w:t>
      </w:r>
      <w:r w:rsidRPr="009742B0">
        <w:rPr>
          <w:rFonts w:ascii="Times New Roman" w:hAnsi="Times New Roman" w:cs="Times New Roman"/>
          <w:b/>
          <w:sz w:val="24"/>
          <w:szCs w:val="24"/>
        </w:rPr>
        <w:t>izvora 561</w:t>
      </w:r>
      <w:r w:rsidRPr="009742B0">
        <w:rPr>
          <w:rFonts w:ascii="Times New Roman" w:hAnsi="Times New Roman" w:cs="Times New Roman"/>
          <w:sz w:val="24"/>
          <w:szCs w:val="24"/>
        </w:rPr>
        <w:t xml:space="preserve"> (EU projekti iz ESF-a) su ostvareni u visini 95,63% od planiranih te 18,67% od izvršenih prethodne godine. I kod ovog izvora dinamika realizacije rashoda u velikoj mjeri ovisi o fazi realizacije postojećih EU projekata.</w:t>
      </w:r>
    </w:p>
    <w:p w:rsidR="00ED5C6A" w:rsidRPr="00420463" w:rsidRDefault="00ED5C6A" w:rsidP="00ED5C6A">
      <w:pPr>
        <w:jc w:val="both"/>
        <w:rPr>
          <w:rFonts w:ascii="Times New Roman" w:hAnsi="Times New Roman" w:cs="Times New Roman"/>
          <w:sz w:val="24"/>
          <w:szCs w:val="24"/>
        </w:rPr>
      </w:pPr>
      <w:r w:rsidRPr="00CB596E">
        <w:rPr>
          <w:rFonts w:ascii="Times New Roman" w:hAnsi="Times New Roman" w:cs="Times New Roman"/>
          <w:sz w:val="24"/>
          <w:szCs w:val="24"/>
        </w:rPr>
        <w:t xml:space="preserve">Rashodi iz </w:t>
      </w:r>
      <w:r w:rsidRPr="009742B0">
        <w:rPr>
          <w:rFonts w:ascii="Times New Roman" w:hAnsi="Times New Roman" w:cs="Times New Roman"/>
          <w:b/>
          <w:sz w:val="24"/>
          <w:szCs w:val="24"/>
        </w:rPr>
        <w:t>izvora 61</w:t>
      </w:r>
      <w:r w:rsidRPr="00CB596E">
        <w:rPr>
          <w:rFonts w:ascii="Times New Roman" w:hAnsi="Times New Roman" w:cs="Times New Roman"/>
          <w:sz w:val="24"/>
          <w:szCs w:val="24"/>
        </w:rPr>
        <w:t xml:space="preserve"> (donacije) ostvarene su u visini </w:t>
      </w:r>
      <w:r w:rsidR="009742B0">
        <w:rPr>
          <w:rFonts w:ascii="Times New Roman" w:hAnsi="Times New Roman" w:cs="Times New Roman"/>
          <w:sz w:val="24"/>
          <w:szCs w:val="24"/>
        </w:rPr>
        <w:t>89,80</w:t>
      </w:r>
      <w:r w:rsidRPr="00CB596E">
        <w:rPr>
          <w:rFonts w:ascii="Times New Roman" w:hAnsi="Times New Roman" w:cs="Times New Roman"/>
          <w:sz w:val="24"/>
          <w:szCs w:val="24"/>
        </w:rPr>
        <w:t xml:space="preserve">% od planiranog, te </w:t>
      </w:r>
      <w:r w:rsidR="009742B0">
        <w:rPr>
          <w:rFonts w:ascii="Times New Roman" w:hAnsi="Times New Roman" w:cs="Times New Roman"/>
          <w:sz w:val="24"/>
          <w:szCs w:val="24"/>
        </w:rPr>
        <w:t>112,89</w:t>
      </w:r>
      <w:r w:rsidRPr="00CB596E">
        <w:rPr>
          <w:rFonts w:ascii="Times New Roman" w:hAnsi="Times New Roman" w:cs="Times New Roman"/>
          <w:sz w:val="24"/>
          <w:szCs w:val="24"/>
        </w:rPr>
        <w:t>% od prošlogodišnjeg izvršenja. Donacije se u određenom dijelu odnose na rashode temeljem projekata, a u određenoj mjeri na rashode iz ostalih  donacija.</w:t>
      </w:r>
    </w:p>
    <w:p w:rsidR="00ED5C6A" w:rsidRPr="00CB596E" w:rsidRDefault="00ED5C6A" w:rsidP="00ED5C6A">
      <w:pPr>
        <w:jc w:val="both"/>
        <w:rPr>
          <w:rFonts w:ascii="Times New Roman" w:hAnsi="Times New Roman" w:cs="Times New Roman"/>
          <w:sz w:val="24"/>
          <w:szCs w:val="24"/>
        </w:rPr>
      </w:pPr>
      <w:r w:rsidRPr="00CB596E">
        <w:rPr>
          <w:rFonts w:ascii="Times New Roman" w:hAnsi="Times New Roman" w:cs="Times New Roman"/>
          <w:sz w:val="24"/>
          <w:szCs w:val="24"/>
        </w:rPr>
        <w:t>Odstupanja po pojedinim pozicijama u odnosu na plan nastala su uglavnom zbog dinamike realizacije rashoda, na što značajno utječe dinamika realizacije postojećih projekata.</w:t>
      </w:r>
    </w:p>
    <w:p w:rsidR="00ED5C6A" w:rsidRDefault="00ED5C6A" w:rsidP="002B2C1E">
      <w:pPr>
        <w:spacing w:after="0" w:line="240" w:lineRule="auto"/>
        <w:jc w:val="both"/>
        <w:rPr>
          <w:rFonts w:ascii="Times New Roman" w:hAnsi="Times New Roman" w:cs="Times New Roman"/>
          <w:sz w:val="24"/>
          <w:szCs w:val="24"/>
          <w:highlight w:val="cyan"/>
        </w:rPr>
      </w:pPr>
    </w:p>
    <w:p w:rsidR="00362A71" w:rsidRDefault="00362A71" w:rsidP="002B2C1E">
      <w:pPr>
        <w:spacing w:after="0" w:line="240" w:lineRule="auto"/>
        <w:jc w:val="both"/>
        <w:rPr>
          <w:rFonts w:ascii="Times New Roman" w:hAnsi="Times New Roman" w:cs="Times New Roman"/>
          <w:sz w:val="24"/>
          <w:szCs w:val="24"/>
          <w:highlight w:val="cyan"/>
        </w:rPr>
      </w:pPr>
    </w:p>
    <w:p w:rsidR="00362A71" w:rsidRDefault="00362A71" w:rsidP="002B2C1E">
      <w:pPr>
        <w:spacing w:after="0" w:line="240" w:lineRule="auto"/>
        <w:jc w:val="both"/>
        <w:rPr>
          <w:rFonts w:ascii="Times New Roman" w:hAnsi="Times New Roman" w:cs="Times New Roman"/>
          <w:sz w:val="24"/>
          <w:szCs w:val="24"/>
          <w:highlight w:val="cyan"/>
        </w:rPr>
      </w:pPr>
    </w:p>
    <w:p w:rsidR="00362A71" w:rsidRDefault="00362A71" w:rsidP="002B2C1E">
      <w:pPr>
        <w:spacing w:after="0" w:line="240" w:lineRule="auto"/>
        <w:jc w:val="both"/>
        <w:rPr>
          <w:rFonts w:ascii="Times New Roman" w:hAnsi="Times New Roman" w:cs="Times New Roman"/>
          <w:sz w:val="24"/>
          <w:szCs w:val="24"/>
          <w:highlight w:val="cyan"/>
        </w:rPr>
      </w:pPr>
    </w:p>
    <w:p w:rsidR="00362A71" w:rsidRDefault="00362A71" w:rsidP="002B2C1E">
      <w:pPr>
        <w:spacing w:after="0" w:line="240" w:lineRule="auto"/>
        <w:jc w:val="both"/>
        <w:rPr>
          <w:rFonts w:ascii="Times New Roman" w:hAnsi="Times New Roman" w:cs="Times New Roman"/>
          <w:sz w:val="24"/>
          <w:szCs w:val="24"/>
          <w:highlight w:val="cyan"/>
        </w:rPr>
      </w:pPr>
    </w:p>
    <w:p w:rsidR="00362A71" w:rsidRDefault="00362A71" w:rsidP="002B2C1E">
      <w:pPr>
        <w:spacing w:after="0" w:line="240" w:lineRule="auto"/>
        <w:jc w:val="both"/>
        <w:rPr>
          <w:rFonts w:ascii="Times New Roman" w:hAnsi="Times New Roman" w:cs="Times New Roman"/>
          <w:sz w:val="24"/>
          <w:szCs w:val="24"/>
          <w:highlight w:val="cyan"/>
        </w:rPr>
      </w:pPr>
    </w:p>
    <w:p w:rsidR="00362A71" w:rsidRDefault="00362A71" w:rsidP="002B2C1E">
      <w:pPr>
        <w:spacing w:after="0" w:line="240" w:lineRule="auto"/>
        <w:jc w:val="both"/>
        <w:rPr>
          <w:rFonts w:ascii="Times New Roman" w:hAnsi="Times New Roman" w:cs="Times New Roman"/>
          <w:sz w:val="24"/>
          <w:szCs w:val="24"/>
          <w:highlight w:val="cyan"/>
        </w:rPr>
      </w:pPr>
    </w:p>
    <w:p w:rsidR="00362A71" w:rsidRDefault="00362A71" w:rsidP="002B2C1E">
      <w:pPr>
        <w:spacing w:after="0" w:line="240" w:lineRule="auto"/>
        <w:jc w:val="both"/>
        <w:rPr>
          <w:rFonts w:ascii="Times New Roman" w:hAnsi="Times New Roman" w:cs="Times New Roman"/>
          <w:sz w:val="24"/>
          <w:szCs w:val="24"/>
          <w:highlight w:val="cyan"/>
        </w:rPr>
      </w:pPr>
    </w:p>
    <w:p w:rsidR="00362A71" w:rsidRDefault="00362A71" w:rsidP="002B2C1E">
      <w:pPr>
        <w:spacing w:after="0" w:line="240" w:lineRule="auto"/>
        <w:jc w:val="both"/>
        <w:rPr>
          <w:rFonts w:ascii="Times New Roman" w:hAnsi="Times New Roman" w:cs="Times New Roman"/>
          <w:sz w:val="24"/>
          <w:szCs w:val="24"/>
          <w:highlight w:val="cyan"/>
        </w:rPr>
      </w:pPr>
    </w:p>
    <w:p w:rsidR="00362A71" w:rsidRDefault="00362A71" w:rsidP="002B2C1E">
      <w:pPr>
        <w:spacing w:after="0" w:line="240" w:lineRule="auto"/>
        <w:jc w:val="both"/>
        <w:rPr>
          <w:rFonts w:ascii="Times New Roman" w:hAnsi="Times New Roman" w:cs="Times New Roman"/>
          <w:sz w:val="24"/>
          <w:szCs w:val="24"/>
          <w:highlight w:val="cyan"/>
        </w:rPr>
      </w:pPr>
    </w:p>
    <w:p w:rsidR="00362A71" w:rsidRDefault="00362A71" w:rsidP="002B2C1E">
      <w:pPr>
        <w:spacing w:after="0" w:line="240" w:lineRule="auto"/>
        <w:jc w:val="both"/>
        <w:rPr>
          <w:rFonts w:ascii="Times New Roman" w:hAnsi="Times New Roman" w:cs="Times New Roman"/>
          <w:sz w:val="24"/>
          <w:szCs w:val="24"/>
          <w:highlight w:val="cyan"/>
        </w:rPr>
      </w:pPr>
    </w:p>
    <w:p w:rsidR="00362A71" w:rsidRDefault="00362A71" w:rsidP="002B2C1E">
      <w:pPr>
        <w:spacing w:after="0" w:line="240" w:lineRule="auto"/>
        <w:jc w:val="both"/>
        <w:rPr>
          <w:rFonts w:ascii="Times New Roman" w:hAnsi="Times New Roman" w:cs="Times New Roman"/>
          <w:sz w:val="24"/>
          <w:szCs w:val="24"/>
          <w:highlight w:val="cyan"/>
        </w:rPr>
      </w:pPr>
    </w:p>
    <w:p w:rsidR="007258A1" w:rsidRPr="00E1555C" w:rsidRDefault="00AE6400" w:rsidP="007258A1">
      <w:pPr>
        <w:spacing w:line="240" w:lineRule="auto"/>
        <w:jc w:val="both"/>
        <w:rPr>
          <w:rFonts w:ascii="Times New Roman" w:hAnsi="Times New Roman" w:cs="Times New Roman"/>
          <w:b/>
          <w:sz w:val="24"/>
          <w:szCs w:val="24"/>
        </w:rPr>
      </w:pPr>
      <w:r w:rsidRPr="00E1555C">
        <w:rPr>
          <w:rFonts w:ascii="Times New Roman" w:hAnsi="Times New Roman" w:cs="Times New Roman"/>
          <w:b/>
          <w:sz w:val="24"/>
          <w:szCs w:val="24"/>
        </w:rPr>
        <w:lastRenderedPageBreak/>
        <w:t>P</w:t>
      </w:r>
      <w:r w:rsidR="007258A1" w:rsidRPr="00E1555C">
        <w:rPr>
          <w:rFonts w:ascii="Times New Roman" w:hAnsi="Times New Roman" w:cs="Times New Roman"/>
          <w:b/>
          <w:sz w:val="24"/>
          <w:szCs w:val="24"/>
        </w:rPr>
        <w:t>RIJENOS SREDSTAVA IZ PRETHODNE I U SLJEDEĆU GODINU (EUR)</w:t>
      </w:r>
    </w:p>
    <w:p w:rsidR="00F471E7" w:rsidRPr="00E1555C" w:rsidRDefault="00600F3A" w:rsidP="00624C16">
      <w:pPr>
        <w:spacing w:line="240" w:lineRule="auto"/>
        <w:jc w:val="both"/>
        <w:rPr>
          <w:rFonts w:ascii="Times New Roman" w:hAnsi="Times New Roman" w:cs="Times New Roman"/>
          <w:sz w:val="24"/>
          <w:szCs w:val="24"/>
        </w:rPr>
      </w:pPr>
      <w:r w:rsidRPr="00E1555C">
        <w:rPr>
          <w:rFonts w:ascii="Times New Roman" w:hAnsi="Times New Roman" w:cs="Times New Roman"/>
          <w:sz w:val="24"/>
          <w:szCs w:val="24"/>
        </w:rPr>
        <w:t>Obrazloženje</w:t>
      </w:r>
      <w:r w:rsidR="00AB00F0" w:rsidRPr="00E1555C">
        <w:rPr>
          <w:rFonts w:ascii="Times New Roman" w:hAnsi="Times New Roman" w:cs="Times New Roman"/>
          <w:sz w:val="24"/>
          <w:szCs w:val="24"/>
        </w:rPr>
        <w:t xml:space="preserve"> izvršenja</w:t>
      </w:r>
      <w:r w:rsidRPr="00E1555C">
        <w:rPr>
          <w:rFonts w:ascii="Times New Roman" w:hAnsi="Times New Roman" w:cs="Times New Roman"/>
          <w:sz w:val="24"/>
          <w:szCs w:val="24"/>
        </w:rPr>
        <w:t xml:space="preserve"> prijenosa</w:t>
      </w:r>
      <w:r w:rsidR="00AB00F0" w:rsidRPr="00E1555C">
        <w:rPr>
          <w:rFonts w:ascii="Times New Roman" w:hAnsi="Times New Roman" w:cs="Times New Roman"/>
          <w:sz w:val="24"/>
          <w:szCs w:val="24"/>
        </w:rPr>
        <w:t xml:space="preserve"> sredstava</w:t>
      </w:r>
      <w:r w:rsidRPr="00E1555C">
        <w:rPr>
          <w:rFonts w:ascii="Times New Roman" w:hAnsi="Times New Roman" w:cs="Times New Roman"/>
          <w:sz w:val="24"/>
          <w:szCs w:val="24"/>
        </w:rPr>
        <w:t xml:space="preserve"> iz prethodne godine i prijenosa sredstava u slijedeće razdoblje za razdoblje 01-</w:t>
      </w:r>
      <w:r w:rsidR="00D464EC" w:rsidRPr="00E1555C">
        <w:rPr>
          <w:rFonts w:ascii="Times New Roman" w:hAnsi="Times New Roman" w:cs="Times New Roman"/>
          <w:sz w:val="24"/>
          <w:szCs w:val="24"/>
        </w:rPr>
        <w:t>12</w:t>
      </w:r>
      <w:r w:rsidRPr="00E1555C">
        <w:rPr>
          <w:rFonts w:ascii="Times New Roman" w:hAnsi="Times New Roman" w:cs="Times New Roman"/>
          <w:sz w:val="24"/>
          <w:szCs w:val="24"/>
        </w:rPr>
        <w:t>/2023</w:t>
      </w:r>
      <w:r w:rsidR="00CB596E" w:rsidRPr="00E1555C">
        <w:rPr>
          <w:rFonts w:ascii="Times New Roman" w:hAnsi="Times New Roman" w:cs="Times New Roman"/>
          <w:sz w:val="24"/>
          <w:szCs w:val="24"/>
        </w:rPr>
        <w:t>.</w:t>
      </w:r>
      <w:r w:rsidRPr="00E1555C">
        <w:rPr>
          <w:rFonts w:ascii="Times New Roman" w:hAnsi="Times New Roman" w:cs="Times New Roman"/>
          <w:sz w:val="24"/>
          <w:szCs w:val="24"/>
        </w:rPr>
        <w:t>:</w:t>
      </w:r>
    </w:p>
    <w:p w:rsidR="00600F3A" w:rsidRPr="00E1555C" w:rsidRDefault="00600F3A" w:rsidP="00624C16">
      <w:pPr>
        <w:spacing w:line="240" w:lineRule="auto"/>
        <w:jc w:val="both"/>
        <w:rPr>
          <w:rFonts w:ascii="Times New Roman" w:hAnsi="Times New Roman" w:cs="Times New Roman"/>
          <w:b/>
          <w:sz w:val="24"/>
          <w:szCs w:val="24"/>
        </w:rPr>
      </w:pPr>
    </w:p>
    <w:p w:rsidR="00D464EC" w:rsidRPr="00E1555C" w:rsidRDefault="00BA592E" w:rsidP="00624C16">
      <w:pPr>
        <w:spacing w:line="240" w:lineRule="auto"/>
        <w:jc w:val="both"/>
        <w:rPr>
          <w:rFonts w:ascii="Times New Roman" w:hAnsi="Times New Roman" w:cs="Times New Roman"/>
          <w:b/>
          <w:sz w:val="24"/>
          <w:szCs w:val="24"/>
        </w:rPr>
      </w:pPr>
      <w:r w:rsidRPr="00BA592E">
        <w:rPr>
          <w:noProof/>
        </w:rPr>
        <w:drawing>
          <wp:inline distT="0" distB="0" distL="0" distR="0">
            <wp:extent cx="5760720" cy="123604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236045"/>
                    </a:xfrm>
                    <a:prstGeom prst="rect">
                      <a:avLst/>
                    </a:prstGeom>
                    <a:noFill/>
                    <a:ln>
                      <a:noFill/>
                    </a:ln>
                  </pic:spPr>
                </pic:pic>
              </a:graphicData>
            </a:graphic>
          </wp:inline>
        </w:drawing>
      </w:r>
    </w:p>
    <w:p w:rsidR="00580A91" w:rsidRPr="000A2352" w:rsidRDefault="007C2F59" w:rsidP="00AB00F0">
      <w:pPr>
        <w:jc w:val="both"/>
        <w:rPr>
          <w:rFonts w:ascii="Times New Roman" w:hAnsi="Times New Roman" w:cs="Times New Roman"/>
          <w:sz w:val="24"/>
          <w:szCs w:val="24"/>
        </w:rPr>
      </w:pPr>
      <w:r w:rsidRPr="000A2352">
        <w:rPr>
          <w:rFonts w:ascii="Times New Roman" w:hAnsi="Times New Roman" w:cs="Times New Roman"/>
          <w:b/>
          <w:sz w:val="24"/>
          <w:szCs w:val="24"/>
        </w:rPr>
        <w:t>Donos sredstava u razdoblju 01-</w:t>
      </w:r>
      <w:r w:rsidR="00D464EC" w:rsidRPr="000A2352">
        <w:rPr>
          <w:rFonts w:ascii="Times New Roman" w:hAnsi="Times New Roman" w:cs="Times New Roman"/>
          <w:b/>
          <w:sz w:val="24"/>
          <w:szCs w:val="24"/>
        </w:rPr>
        <w:t>12</w:t>
      </w:r>
      <w:r w:rsidRPr="000A2352">
        <w:rPr>
          <w:rFonts w:ascii="Times New Roman" w:hAnsi="Times New Roman" w:cs="Times New Roman"/>
          <w:b/>
          <w:sz w:val="24"/>
          <w:szCs w:val="24"/>
        </w:rPr>
        <w:t>/2023</w:t>
      </w:r>
      <w:r w:rsidRPr="000A2352">
        <w:rPr>
          <w:rFonts w:ascii="Times New Roman" w:hAnsi="Times New Roman" w:cs="Times New Roman"/>
          <w:sz w:val="24"/>
          <w:szCs w:val="24"/>
        </w:rPr>
        <w:t xml:space="preserve"> ostvaren je u visini </w:t>
      </w:r>
      <w:r w:rsidR="00BF434F" w:rsidRPr="000A2352">
        <w:rPr>
          <w:rFonts w:ascii="Times New Roman" w:hAnsi="Times New Roman" w:cs="Times New Roman"/>
          <w:sz w:val="24"/>
          <w:szCs w:val="24"/>
        </w:rPr>
        <w:t>100% planiranog iznosa, te 95,5</w:t>
      </w:r>
      <w:r w:rsidRPr="000A2352">
        <w:rPr>
          <w:rFonts w:ascii="Times New Roman" w:hAnsi="Times New Roman" w:cs="Times New Roman"/>
          <w:sz w:val="24"/>
          <w:szCs w:val="24"/>
        </w:rPr>
        <w:t xml:space="preserve">% prošlogodišnjeg prijenosa. </w:t>
      </w:r>
      <w:r w:rsidR="00580A91" w:rsidRPr="000A2352">
        <w:rPr>
          <w:rFonts w:ascii="Times New Roman" w:hAnsi="Times New Roman" w:cs="Times New Roman"/>
          <w:sz w:val="24"/>
          <w:szCs w:val="24"/>
        </w:rPr>
        <w:t xml:space="preserve">Donos sredstava na početku 2023. godine </w:t>
      </w:r>
      <w:r w:rsidR="002D4BD7" w:rsidRPr="000A2352">
        <w:rPr>
          <w:rFonts w:ascii="Times New Roman" w:hAnsi="Times New Roman" w:cs="Times New Roman"/>
          <w:sz w:val="24"/>
          <w:szCs w:val="24"/>
        </w:rPr>
        <w:t>u iznosu od 2.</w:t>
      </w:r>
      <w:r w:rsidR="0056668E" w:rsidRPr="000A2352">
        <w:rPr>
          <w:rFonts w:ascii="Times New Roman" w:hAnsi="Times New Roman" w:cs="Times New Roman"/>
          <w:sz w:val="24"/>
          <w:szCs w:val="24"/>
        </w:rPr>
        <w:t>829.700</w:t>
      </w:r>
      <w:r w:rsidR="002D4BD7" w:rsidRPr="000A2352">
        <w:rPr>
          <w:rFonts w:ascii="Times New Roman" w:hAnsi="Times New Roman" w:cs="Times New Roman"/>
          <w:sz w:val="24"/>
          <w:szCs w:val="24"/>
        </w:rPr>
        <w:t xml:space="preserve"> EUR se</w:t>
      </w:r>
      <w:r w:rsidR="00580A91" w:rsidRPr="000A2352">
        <w:rPr>
          <w:rFonts w:ascii="Times New Roman" w:hAnsi="Times New Roman" w:cs="Times New Roman"/>
          <w:sz w:val="24"/>
          <w:szCs w:val="24"/>
        </w:rPr>
        <w:t xml:space="preserve"> odnosi na:</w:t>
      </w:r>
    </w:p>
    <w:tbl>
      <w:tblPr>
        <w:tblW w:w="9494" w:type="dxa"/>
        <w:tblLook w:val="04A0" w:firstRow="1" w:lastRow="0" w:firstColumn="1" w:lastColumn="0" w:noHBand="0" w:noVBand="1"/>
      </w:tblPr>
      <w:tblGrid>
        <w:gridCol w:w="1160"/>
        <w:gridCol w:w="1189"/>
        <w:gridCol w:w="1203"/>
        <w:gridCol w:w="1232"/>
        <w:gridCol w:w="1145"/>
        <w:gridCol w:w="1145"/>
        <w:gridCol w:w="1164"/>
        <w:gridCol w:w="1256"/>
      </w:tblGrid>
      <w:tr w:rsidR="0056668E" w:rsidRPr="0056668E" w:rsidTr="00BA592E">
        <w:trPr>
          <w:trHeight w:val="299"/>
        </w:trPr>
        <w:tc>
          <w:tcPr>
            <w:tcW w:w="1160" w:type="dxa"/>
            <w:tcBorders>
              <w:top w:val="nil"/>
              <w:left w:val="nil"/>
              <w:bottom w:val="nil"/>
              <w:right w:val="nil"/>
            </w:tcBorders>
            <w:shd w:val="clear" w:color="auto" w:fill="auto"/>
            <w:noWrap/>
            <w:vAlign w:val="bottom"/>
            <w:hideMark/>
          </w:tcPr>
          <w:p w:rsidR="0056668E" w:rsidRPr="0056668E" w:rsidRDefault="0056668E" w:rsidP="0056668E">
            <w:pPr>
              <w:spacing w:after="0" w:line="240" w:lineRule="auto"/>
              <w:rPr>
                <w:rFonts w:ascii="Times New Roman" w:eastAsia="Times New Roman" w:hAnsi="Times New Roman" w:cs="Times New Roman"/>
                <w:sz w:val="24"/>
                <w:szCs w:val="24"/>
                <w:lang w:val="en-GB" w:eastAsia="en-GB"/>
              </w:rPr>
            </w:pPr>
          </w:p>
        </w:tc>
        <w:tc>
          <w:tcPr>
            <w:tcW w:w="1189" w:type="dxa"/>
            <w:tcBorders>
              <w:top w:val="nil"/>
              <w:left w:val="nil"/>
              <w:bottom w:val="nil"/>
              <w:right w:val="nil"/>
            </w:tcBorders>
            <w:shd w:val="clear" w:color="auto" w:fill="auto"/>
            <w:noWrap/>
            <w:vAlign w:val="bottom"/>
            <w:hideMark/>
          </w:tcPr>
          <w:p w:rsidR="0056668E" w:rsidRPr="0056668E" w:rsidRDefault="0056668E" w:rsidP="0056668E">
            <w:pPr>
              <w:spacing w:after="0" w:line="240" w:lineRule="auto"/>
              <w:rPr>
                <w:rFonts w:ascii="Times New Roman" w:eastAsia="Times New Roman" w:hAnsi="Times New Roman" w:cs="Times New Roman"/>
                <w:sz w:val="20"/>
                <w:szCs w:val="20"/>
                <w:lang w:val="en-GB" w:eastAsia="en-GB"/>
              </w:rPr>
            </w:pPr>
          </w:p>
        </w:tc>
        <w:tc>
          <w:tcPr>
            <w:tcW w:w="1203" w:type="dxa"/>
            <w:tcBorders>
              <w:top w:val="nil"/>
              <w:left w:val="nil"/>
              <w:bottom w:val="nil"/>
              <w:right w:val="nil"/>
            </w:tcBorders>
            <w:shd w:val="clear" w:color="auto" w:fill="auto"/>
            <w:noWrap/>
            <w:vAlign w:val="bottom"/>
            <w:hideMark/>
          </w:tcPr>
          <w:p w:rsidR="0056668E" w:rsidRPr="0056668E" w:rsidRDefault="0056668E" w:rsidP="0056668E">
            <w:pPr>
              <w:spacing w:after="0" w:line="240" w:lineRule="auto"/>
              <w:rPr>
                <w:rFonts w:ascii="Times New Roman" w:eastAsia="Times New Roman" w:hAnsi="Times New Roman" w:cs="Times New Roman"/>
                <w:sz w:val="20"/>
                <w:szCs w:val="20"/>
                <w:lang w:val="en-GB" w:eastAsia="en-GB"/>
              </w:rPr>
            </w:pPr>
          </w:p>
        </w:tc>
        <w:tc>
          <w:tcPr>
            <w:tcW w:w="1232" w:type="dxa"/>
            <w:tcBorders>
              <w:top w:val="nil"/>
              <w:left w:val="nil"/>
              <w:bottom w:val="nil"/>
              <w:right w:val="nil"/>
            </w:tcBorders>
            <w:shd w:val="clear" w:color="auto" w:fill="auto"/>
            <w:noWrap/>
            <w:vAlign w:val="bottom"/>
            <w:hideMark/>
          </w:tcPr>
          <w:p w:rsidR="0056668E" w:rsidRPr="0056668E" w:rsidRDefault="0056668E" w:rsidP="0056668E">
            <w:pPr>
              <w:spacing w:after="0" w:line="240" w:lineRule="auto"/>
              <w:rPr>
                <w:rFonts w:ascii="Times New Roman" w:eastAsia="Times New Roman" w:hAnsi="Times New Roman" w:cs="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56668E" w:rsidRPr="0056668E" w:rsidRDefault="0056668E" w:rsidP="0056668E">
            <w:pPr>
              <w:spacing w:after="0" w:line="240" w:lineRule="auto"/>
              <w:rPr>
                <w:rFonts w:ascii="Times New Roman" w:eastAsia="Times New Roman" w:hAnsi="Times New Roman" w:cs="Times New Roman"/>
                <w:sz w:val="20"/>
                <w:szCs w:val="20"/>
                <w:lang w:val="en-GB" w:eastAsia="en-GB"/>
              </w:rPr>
            </w:pPr>
          </w:p>
        </w:tc>
        <w:tc>
          <w:tcPr>
            <w:tcW w:w="1145" w:type="dxa"/>
            <w:tcBorders>
              <w:top w:val="nil"/>
              <w:left w:val="nil"/>
              <w:bottom w:val="nil"/>
              <w:right w:val="nil"/>
            </w:tcBorders>
            <w:shd w:val="clear" w:color="auto" w:fill="auto"/>
            <w:noWrap/>
            <w:vAlign w:val="bottom"/>
            <w:hideMark/>
          </w:tcPr>
          <w:p w:rsidR="0056668E" w:rsidRPr="0056668E" w:rsidRDefault="0056668E" w:rsidP="0056668E">
            <w:pPr>
              <w:spacing w:after="0" w:line="240" w:lineRule="auto"/>
              <w:rPr>
                <w:rFonts w:ascii="Times New Roman" w:eastAsia="Times New Roman" w:hAnsi="Times New Roman" w:cs="Times New Roman"/>
                <w:sz w:val="20"/>
                <w:szCs w:val="20"/>
                <w:lang w:val="en-GB" w:eastAsia="en-GB"/>
              </w:rPr>
            </w:pPr>
          </w:p>
        </w:tc>
        <w:tc>
          <w:tcPr>
            <w:tcW w:w="1164" w:type="dxa"/>
            <w:tcBorders>
              <w:top w:val="nil"/>
              <w:left w:val="nil"/>
              <w:bottom w:val="nil"/>
              <w:right w:val="nil"/>
            </w:tcBorders>
            <w:shd w:val="clear" w:color="auto" w:fill="auto"/>
            <w:noWrap/>
            <w:vAlign w:val="bottom"/>
            <w:hideMark/>
          </w:tcPr>
          <w:p w:rsidR="0056668E" w:rsidRPr="0056668E" w:rsidRDefault="0056668E" w:rsidP="0056668E">
            <w:pPr>
              <w:spacing w:after="0" w:line="240" w:lineRule="auto"/>
              <w:rPr>
                <w:rFonts w:ascii="Times New Roman" w:eastAsia="Times New Roman" w:hAnsi="Times New Roman" w:cs="Times New Roman"/>
                <w:sz w:val="20"/>
                <w:szCs w:val="20"/>
                <w:lang w:val="en-GB" w:eastAsia="en-GB"/>
              </w:rPr>
            </w:pPr>
          </w:p>
        </w:tc>
        <w:tc>
          <w:tcPr>
            <w:tcW w:w="1256" w:type="dxa"/>
            <w:tcBorders>
              <w:top w:val="nil"/>
              <w:left w:val="nil"/>
              <w:bottom w:val="nil"/>
              <w:right w:val="nil"/>
            </w:tcBorders>
            <w:shd w:val="clear" w:color="auto" w:fill="auto"/>
            <w:noWrap/>
            <w:vAlign w:val="bottom"/>
            <w:hideMark/>
          </w:tcPr>
          <w:p w:rsidR="0056668E" w:rsidRPr="0056668E" w:rsidRDefault="0056668E" w:rsidP="0056668E">
            <w:pPr>
              <w:spacing w:after="0" w:line="240" w:lineRule="auto"/>
              <w:rPr>
                <w:rFonts w:ascii="Calibri" w:eastAsia="Times New Roman" w:hAnsi="Calibri" w:cs="Calibri"/>
                <w:b/>
                <w:bCs/>
                <w:color w:val="000000"/>
                <w:lang w:val="en-GB" w:eastAsia="en-GB"/>
              </w:rPr>
            </w:pPr>
            <w:r w:rsidRPr="0056668E">
              <w:rPr>
                <w:rFonts w:ascii="Calibri" w:eastAsia="Times New Roman" w:hAnsi="Calibri" w:cs="Calibri"/>
                <w:b/>
                <w:bCs/>
                <w:color w:val="000000"/>
                <w:lang w:val="en-GB" w:eastAsia="en-GB"/>
              </w:rPr>
              <w:t>EUR</w:t>
            </w:r>
          </w:p>
        </w:tc>
      </w:tr>
      <w:tr w:rsidR="0056668E" w:rsidRPr="0056668E" w:rsidTr="00BA592E">
        <w:trPr>
          <w:trHeight w:val="614"/>
        </w:trPr>
        <w:tc>
          <w:tcPr>
            <w:tcW w:w="116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6668E" w:rsidRPr="0056668E" w:rsidRDefault="0056668E" w:rsidP="0056668E">
            <w:pPr>
              <w:spacing w:after="0" w:line="240" w:lineRule="auto"/>
              <w:jc w:val="center"/>
              <w:rPr>
                <w:rFonts w:ascii="Times New Roman" w:eastAsia="Times New Roman" w:hAnsi="Times New Roman" w:cs="Times New Roman"/>
                <w:b/>
                <w:bCs/>
                <w:color w:val="000000"/>
                <w:sz w:val="24"/>
                <w:szCs w:val="24"/>
                <w:lang w:val="en-GB" w:eastAsia="en-GB"/>
              </w:rPr>
            </w:pPr>
            <w:r w:rsidRPr="0056668E">
              <w:rPr>
                <w:rFonts w:ascii="Times New Roman" w:eastAsia="Times New Roman" w:hAnsi="Times New Roman" w:cs="Times New Roman"/>
                <w:b/>
                <w:bCs/>
                <w:color w:val="000000"/>
                <w:sz w:val="24"/>
                <w:szCs w:val="24"/>
                <w:lang w:val="en-GB" w:eastAsia="en-GB"/>
              </w:rPr>
              <w:t xml:space="preserve">IZVOR 31                  </w:t>
            </w:r>
            <w:proofErr w:type="spellStart"/>
            <w:r w:rsidRPr="0056668E">
              <w:rPr>
                <w:rFonts w:ascii="Times New Roman" w:eastAsia="Times New Roman" w:hAnsi="Times New Roman" w:cs="Times New Roman"/>
                <w:b/>
                <w:bCs/>
                <w:color w:val="000000"/>
                <w:sz w:val="24"/>
                <w:szCs w:val="24"/>
                <w:lang w:val="en-GB" w:eastAsia="en-GB"/>
              </w:rPr>
              <w:t>Vlastiti</w:t>
            </w:r>
            <w:proofErr w:type="spellEnd"/>
            <w:r w:rsidRPr="0056668E">
              <w:rPr>
                <w:rFonts w:ascii="Times New Roman" w:eastAsia="Times New Roman" w:hAnsi="Times New Roman" w:cs="Times New Roman"/>
                <w:b/>
                <w:bCs/>
                <w:color w:val="000000"/>
                <w:sz w:val="24"/>
                <w:szCs w:val="24"/>
                <w:lang w:val="en-GB" w:eastAsia="en-GB"/>
              </w:rPr>
              <w:t xml:space="preserve"> </w:t>
            </w:r>
            <w:proofErr w:type="spellStart"/>
            <w:r w:rsidRPr="0056668E">
              <w:rPr>
                <w:rFonts w:ascii="Times New Roman" w:eastAsia="Times New Roman" w:hAnsi="Times New Roman" w:cs="Times New Roman"/>
                <w:b/>
                <w:bCs/>
                <w:color w:val="000000"/>
                <w:sz w:val="24"/>
                <w:szCs w:val="24"/>
                <w:lang w:val="en-GB" w:eastAsia="en-GB"/>
              </w:rPr>
              <w:t>prihodi</w:t>
            </w:r>
            <w:proofErr w:type="spellEnd"/>
            <w:r w:rsidRPr="0056668E">
              <w:rPr>
                <w:rFonts w:ascii="Times New Roman" w:eastAsia="Times New Roman" w:hAnsi="Times New Roman" w:cs="Times New Roman"/>
                <w:b/>
                <w:bCs/>
                <w:color w:val="000000"/>
                <w:sz w:val="24"/>
                <w:szCs w:val="24"/>
                <w:lang w:val="en-GB" w:eastAsia="en-GB"/>
              </w:rPr>
              <w:t xml:space="preserve"> </w:t>
            </w:r>
          </w:p>
        </w:tc>
        <w:tc>
          <w:tcPr>
            <w:tcW w:w="118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6668E" w:rsidRPr="0056668E" w:rsidRDefault="0056668E" w:rsidP="0056668E">
            <w:pPr>
              <w:spacing w:after="0" w:line="240" w:lineRule="auto"/>
              <w:jc w:val="center"/>
              <w:rPr>
                <w:rFonts w:ascii="Times New Roman" w:eastAsia="Times New Roman" w:hAnsi="Times New Roman" w:cs="Times New Roman"/>
                <w:b/>
                <w:bCs/>
                <w:color w:val="000000"/>
                <w:sz w:val="24"/>
                <w:szCs w:val="24"/>
                <w:lang w:val="en-GB" w:eastAsia="en-GB"/>
              </w:rPr>
            </w:pPr>
            <w:r w:rsidRPr="0056668E">
              <w:rPr>
                <w:rFonts w:ascii="Times New Roman" w:eastAsia="Times New Roman" w:hAnsi="Times New Roman" w:cs="Times New Roman"/>
                <w:b/>
                <w:bCs/>
                <w:color w:val="000000"/>
                <w:sz w:val="24"/>
                <w:szCs w:val="24"/>
                <w:lang w:val="en-GB" w:eastAsia="en-GB"/>
              </w:rPr>
              <w:t xml:space="preserve">IZVOR 43                   </w:t>
            </w:r>
            <w:proofErr w:type="spellStart"/>
            <w:r w:rsidRPr="0056668E">
              <w:rPr>
                <w:rFonts w:ascii="Times New Roman" w:eastAsia="Times New Roman" w:hAnsi="Times New Roman" w:cs="Times New Roman"/>
                <w:b/>
                <w:bCs/>
                <w:color w:val="000000"/>
                <w:sz w:val="24"/>
                <w:szCs w:val="24"/>
                <w:lang w:val="en-GB" w:eastAsia="en-GB"/>
              </w:rPr>
              <w:t>Prihodi</w:t>
            </w:r>
            <w:proofErr w:type="spellEnd"/>
            <w:r w:rsidRPr="0056668E">
              <w:rPr>
                <w:rFonts w:ascii="Times New Roman" w:eastAsia="Times New Roman" w:hAnsi="Times New Roman" w:cs="Times New Roman"/>
                <w:b/>
                <w:bCs/>
                <w:color w:val="000000"/>
                <w:sz w:val="24"/>
                <w:szCs w:val="24"/>
                <w:lang w:val="en-GB" w:eastAsia="en-GB"/>
              </w:rPr>
              <w:t xml:space="preserve"> za </w:t>
            </w:r>
            <w:proofErr w:type="spellStart"/>
            <w:r w:rsidRPr="0056668E">
              <w:rPr>
                <w:rFonts w:ascii="Times New Roman" w:eastAsia="Times New Roman" w:hAnsi="Times New Roman" w:cs="Times New Roman"/>
                <w:b/>
                <w:bCs/>
                <w:color w:val="000000"/>
                <w:sz w:val="24"/>
                <w:szCs w:val="24"/>
                <w:lang w:val="en-GB" w:eastAsia="en-GB"/>
              </w:rPr>
              <w:t>posebne</w:t>
            </w:r>
            <w:proofErr w:type="spellEnd"/>
            <w:r w:rsidRPr="0056668E">
              <w:rPr>
                <w:rFonts w:ascii="Times New Roman" w:eastAsia="Times New Roman" w:hAnsi="Times New Roman" w:cs="Times New Roman"/>
                <w:b/>
                <w:bCs/>
                <w:color w:val="000000"/>
                <w:sz w:val="24"/>
                <w:szCs w:val="24"/>
                <w:lang w:val="en-GB" w:eastAsia="en-GB"/>
              </w:rPr>
              <w:t xml:space="preserve"> </w:t>
            </w:r>
            <w:proofErr w:type="spellStart"/>
            <w:r w:rsidRPr="0056668E">
              <w:rPr>
                <w:rFonts w:ascii="Times New Roman" w:eastAsia="Times New Roman" w:hAnsi="Times New Roman" w:cs="Times New Roman"/>
                <w:b/>
                <w:bCs/>
                <w:color w:val="000000"/>
                <w:sz w:val="24"/>
                <w:szCs w:val="24"/>
                <w:lang w:val="en-GB" w:eastAsia="en-GB"/>
              </w:rPr>
              <w:t>namjene</w:t>
            </w:r>
            <w:proofErr w:type="spellEnd"/>
            <w:r w:rsidRPr="0056668E">
              <w:rPr>
                <w:rFonts w:ascii="Times New Roman" w:eastAsia="Times New Roman" w:hAnsi="Times New Roman" w:cs="Times New Roman"/>
                <w:b/>
                <w:bCs/>
                <w:color w:val="000000"/>
                <w:sz w:val="24"/>
                <w:szCs w:val="24"/>
                <w:lang w:val="en-GB" w:eastAsia="en-GB"/>
              </w:rPr>
              <w:t xml:space="preserve"> </w:t>
            </w:r>
          </w:p>
        </w:tc>
        <w:tc>
          <w:tcPr>
            <w:tcW w:w="120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6668E" w:rsidRPr="0056668E" w:rsidRDefault="0056668E" w:rsidP="0056668E">
            <w:pPr>
              <w:spacing w:after="0" w:line="240" w:lineRule="auto"/>
              <w:jc w:val="center"/>
              <w:rPr>
                <w:rFonts w:ascii="Times New Roman" w:eastAsia="Times New Roman" w:hAnsi="Times New Roman" w:cs="Times New Roman"/>
                <w:b/>
                <w:bCs/>
                <w:color w:val="000000"/>
                <w:sz w:val="24"/>
                <w:szCs w:val="24"/>
                <w:lang w:val="en-GB" w:eastAsia="en-GB"/>
              </w:rPr>
            </w:pPr>
            <w:r w:rsidRPr="0056668E">
              <w:rPr>
                <w:rFonts w:ascii="Times New Roman" w:eastAsia="Times New Roman" w:hAnsi="Times New Roman" w:cs="Times New Roman"/>
                <w:b/>
                <w:bCs/>
                <w:color w:val="000000"/>
                <w:sz w:val="24"/>
                <w:szCs w:val="24"/>
                <w:lang w:val="en-GB" w:eastAsia="en-GB"/>
              </w:rPr>
              <w:t xml:space="preserve">IZVOR 51                              </w:t>
            </w:r>
            <w:proofErr w:type="spellStart"/>
            <w:r w:rsidRPr="0056668E">
              <w:rPr>
                <w:rFonts w:ascii="Times New Roman" w:eastAsia="Times New Roman" w:hAnsi="Times New Roman" w:cs="Times New Roman"/>
                <w:b/>
                <w:bCs/>
                <w:color w:val="000000"/>
                <w:sz w:val="24"/>
                <w:szCs w:val="24"/>
                <w:lang w:val="en-GB" w:eastAsia="en-GB"/>
              </w:rPr>
              <w:t>Pomoći</w:t>
            </w:r>
            <w:proofErr w:type="spellEnd"/>
            <w:r w:rsidRPr="0056668E">
              <w:rPr>
                <w:rFonts w:ascii="Times New Roman" w:eastAsia="Times New Roman" w:hAnsi="Times New Roman" w:cs="Times New Roman"/>
                <w:b/>
                <w:bCs/>
                <w:color w:val="000000"/>
                <w:sz w:val="24"/>
                <w:szCs w:val="24"/>
                <w:lang w:val="en-GB" w:eastAsia="en-GB"/>
              </w:rPr>
              <w:t xml:space="preserve"> EU</w:t>
            </w:r>
          </w:p>
        </w:tc>
        <w:tc>
          <w:tcPr>
            <w:tcW w:w="1232"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6668E" w:rsidRPr="0056668E" w:rsidRDefault="0056668E" w:rsidP="0056668E">
            <w:pPr>
              <w:spacing w:after="0" w:line="240" w:lineRule="auto"/>
              <w:jc w:val="center"/>
              <w:rPr>
                <w:rFonts w:ascii="Times New Roman" w:eastAsia="Times New Roman" w:hAnsi="Times New Roman" w:cs="Times New Roman"/>
                <w:b/>
                <w:bCs/>
                <w:color w:val="000000"/>
                <w:sz w:val="24"/>
                <w:szCs w:val="24"/>
                <w:lang w:val="en-GB" w:eastAsia="en-GB"/>
              </w:rPr>
            </w:pPr>
            <w:r w:rsidRPr="0056668E">
              <w:rPr>
                <w:rFonts w:ascii="Times New Roman" w:eastAsia="Times New Roman" w:hAnsi="Times New Roman" w:cs="Times New Roman"/>
                <w:b/>
                <w:bCs/>
                <w:color w:val="000000"/>
                <w:sz w:val="24"/>
                <w:szCs w:val="24"/>
                <w:lang w:val="en-GB" w:eastAsia="en-GB"/>
              </w:rPr>
              <w:t xml:space="preserve">IZVOR 52                              </w:t>
            </w:r>
            <w:proofErr w:type="spellStart"/>
            <w:r w:rsidRPr="0056668E">
              <w:rPr>
                <w:rFonts w:ascii="Times New Roman" w:eastAsia="Times New Roman" w:hAnsi="Times New Roman" w:cs="Times New Roman"/>
                <w:b/>
                <w:bCs/>
                <w:color w:val="000000"/>
                <w:sz w:val="24"/>
                <w:szCs w:val="24"/>
                <w:lang w:val="en-GB" w:eastAsia="en-GB"/>
              </w:rPr>
              <w:t>Ostale</w:t>
            </w:r>
            <w:proofErr w:type="spellEnd"/>
            <w:r w:rsidRPr="0056668E">
              <w:rPr>
                <w:rFonts w:ascii="Times New Roman" w:eastAsia="Times New Roman" w:hAnsi="Times New Roman" w:cs="Times New Roman"/>
                <w:b/>
                <w:bCs/>
                <w:color w:val="000000"/>
                <w:sz w:val="24"/>
                <w:szCs w:val="24"/>
                <w:lang w:val="en-GB" w:eastAsia="en-GB"/>
              </w:rPr>
              <w:t xml:space="preserve"> </w:t>
            </w:r>
            <w:proofErr w:type="spellStart"/>
            <w:r w:rsidRPr="0056668E">
              <w:rPr>
                <w:rFonts w:ascii="Times New Roman" w:eastAsia="Times New Roman" w:hAnsi="Times New Roman" w:cs="Times New Roman"/>
                <w:b/>
                <w:bCs/>
                <w:color w:val="000000"/>
                <w:sz w:val="24"/>
                <w:szCs w:val="24"/>
                <w:lang w:val="en-GB" w:eastAsia="en-GB"/>
              </w:rPr>
              <w:t>pomoći</w:t>
            </w:r>
            <w:proofErr w:type="spellEnd"/>
            <w:r w:rsidRPr="0056668E">
              <w:rPr>
                <w:rFonts w:ascii="Times New Roman" w:eastAsia="Times New Roman" w:hAnsi="Times New Roman" w:cs="Times New Roman"/>
                <w:b/>
                <w:bCs/>
                <w:color w:val="000000"/>
                <w:sz w:val="24"/>
                <w:szCs w:val="24"/>
                <w:lang w:val="en-GB" w:eastAsia="en-GB"/>
              </w:rPr>
              <w:t xml:space="preserve"> </w:t>
            </w:r>
          </w:p>
        </w:tc>
        <w:tc>
          <w:tcPr>
            <w:tcW w:w="1145"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6668E" w:rsidRPr="0056668E" w:rsidRDefault="0056668E" w:rsidP="0056668E">
            <w:pPr>
              <w:spacing w:after="0" w:line="240" w:lineRule="auto"/>
              <w:jc w:val="center"/>
              <w:rPr>
                <w:rFonts w:ascii="Times New Roman" w:eastAsia="Times New Roman" w:hAnsi="Times New Roman" w:cs="Times New Roman"/>
                <w:b/>
                <w:bCs/>
                <w:color w:val="000000"/>
                <w:sz w:val="24"/>
                <w:szCs w:val="24"/>
                <w:lang w:val="en-GB" w:eastAsia="en-GB"/>
              </w:rPr>
            </w:pPr>
            <w:r w:rsidRPr="0056668E">
              <w:rPr>
                <w:rFonts w:ascii="Times New Roman" w:eastAsia="Times New Roman" w:hAnsi="Times New Roman" w:cs="Times New Roman"/>
                <w:b/>
                <w:bCs/>
                <w:color w:val="000000"/>
                <w:sz w:val="24"/>
                <w:szCs w:val="24"/>
                <w:lang w:val="en-GB" w:eastAsia="en-GB"/>
              </w:rPr>
              <w:t xml:space="preserve">IZVOR 61                              </w:t>
            </w:r>
            <w:proofErr w:type="spellStart"/>
            <w:r w:rsidRPr="0056668E">
              <w:rPr>
                <w:rFonts w:ascii="Times New Roman" w:eastAsia="Times New Roman" w:hAnsi="Times New Roman" w:cs="Times New Roman"/>
                <w:b/>
                <w:bCs/>
                <w:color w:val="000000"/>
                <w:sz w:val="24"/>
                <w:szCs w:val="24"/>
                <w:lang w:val="en-GB" w:eastAsia="en-GB"/>
              </w:rPr>
              <w:t>Donacije</w:t>
            </w:r>
            <w:proofErr w:type="spellEnd"/>
            <w:r w:rsidRPr="0056668E">
              <w:rPr>
                <w:rFonts w:ascii="Times New Roman" w:eastAsia="Times New Roman" w:hAnsi="Times New Roman" w:cs="Times New Roman"/>
                <w:b/>
                <w:bCs/>
                <w:color w:val="000000"/>
                <w:sz w:val="24"/>
                <w:szCs w:val="24"/>
                <w:lang w:val="en-GB" w:eastAsia="en-GB"/>
              </w:rPr>
              <w:t xml:space="preserve"> </w:t>
            </w:r>
          </w:p>
        </w:tc>
        <w:tc>
          <w:tcPr>
            <w:tcW w:w="1145"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6668E" w:rsidRPr="0056668E" w:rsidRDefault="0056668E" w:rsidP="0056668E">
            <w:pPr>
              <w:spacing w:after="0" w:line="240" w:lineRule="auto"/>
              <w:jc w:val="center"/>
              <w:rPr>
                <w:rFonts w:ascii="Times New Roman" w:eastAsia="Times New Roman" w:hAnsi="Times New Roman" w:cs="Times New Roman"/>
                <w:b/>
                <w:bCs/>
                <w:color w:val="000000"/>
                <w:sz w:val="24"/>
                <w:szCs w:val="24"/>
                <w:lang w:val="en-GB" w:eastAsia="en-GB"/>
              </w:rPr>
            </w:pPr>
            <w:r w:rsidRPr="0056668E">
              <w:rPr>
                <w:rFonts w:ascii="Times New Roman" w:eastAsia="Times New Roman" w:hAnsi="Times New Roman" w:cs="Times New Roman"/>
                <w:b/>
                <w:bCs/>
                <w:color w:val="000000"/>
                <w:sz w:val="24"/>
                <w:szCs w:val="24"/>
                <w:lang w:val="en-GB" w:eastAsia="en-GB"/>
              </w:rPr>
              <w:t xml:space="preserve">IZVOR 11 </w:t>
            </w:r>
            <w:proofErr w:type="spellStart"/>
            <w:r w:rsidRPr="0056668E">
              <w:rPr>
                <w:rFonts w:ascii="Times New Roman" w:eastAsia="Times New Roman" w:hAnsi="Times New Roman" w:cs="Times New Roman"/>
                <w:b/>
                <w:bCs/>
                <w:color w:val="000000"/>
                <w:sz w:val="24"/>
                <w:szCs w:val="24"/>
                <w:lang w:val="en-GB" w:eastAsia="en-GB"/>
              </w:rPr>
              <w:t>Opći</w:t>
            </w:r>
            <w:proofErr w:type="spellEnd"/>
            <w:r w:rsidRPr="0056668E">
              <w:rPr>
                <w:rFonts w:ascii="Times New Roman" w:eastAsia="Times New Roman" w:hAnsi="Times New Roman" w:cs="Times New Roman"/>
                <w:b/>
                <w:bCs/>
                <w:color w:val="000000"/>
                <w:sz w:val="24"/>
                <w:szCs w:val="24"/>
                <w:lang w:val="en-GB" w:eastAsia="en-GB"/>
              </w:rPr>
              <w:t xml:space="preserve"> </w:t>
            </w:r>
            <w:proofErr w:type="spellStart"/>
            <w:r w:rsidRPr="0056668E">
              <w:rPr>
                <w:rFonts w:ascii="Times New Roman" w:eastAsia="Times New Roman" w:hAnsi="Times New Roman" w:cs="Times New Roman"/>
                <w:b/>
                <w:bCs/>
                <w:color w:val="000000"/>
                <w:sz w:val="24"/>
                <w:szCs w:val="24"/>
                <w:lang w:val="en-GB" w:eastAsia="en-GB"/>
              </w:rPr>
              <w:t>prihodi</w:t>
            </w:r>
            <w:proofErr w:type="spellEnd"/>
            <w:r w:rsidRPr="0056668E">
              <w:rPr>
                <w:rFonts w:ascii="Times New Roman" w:eastAsia="Times New Roman" w:hAnsi="Times New Roman" w:cs="Times New Roman"/>
                <w:b/>
                <w:bCs/>
                <w:color w:val="000000"/>
                <w:sz w:val="24"/>
                <w:szCs w:val="24"/>
                <w:lang w:val="en-GB" w:eastAsia="en-GB"/>
              </w:rPr>
              <w:t xml:space="preserve"> </w:t>
            </w:r>
            <w:proofErr w:type="spellStart"/>
            <w:r w:rsidRPr="0056668E">
              <w:rPr>
                <w:rFonts w:ascii="Times New Roman" w:eastAsia="Times New Roman" w:hAnsi="Times New Roman" w:cs="Times New Roman"/>
                <w:b/>
                <w:bCs/>
                <w:color w:val="000000"/>
                <w:sz w:val="24"/>
                <w:szCs w:val="24"/>
                <w:lang w:val="en-GB" w:eastAsia="en-GB"/>
              </w:rPr>
              <w:t>i</w:t>
            </w:r>
            <w:proofErr w:type="spellEnd"/>
            <w:r w:rsidRPr="0056668E">
              <w:rPr>
                <w:rFonts w:ascii="Times New Roman" w:eastAsia="Times New Roman" w:hAnsi="Times New Roman" w:cs="Times New Roman"/>
                <w:b/>
                <w:bCs/>
                <w:color w:val="000000"/>
                <w:sz w:val="24"/>
                <w:szCs w:val="24"/>
                <w:lang w:val="en-GB" w:eastAsia="en-GB"/>
              </w:rPr>
              <w:t xml:space="preserve"> </w:t>
            </w:r>
            <w:proofErr w:type="spellStart"/>
            <w:r w:rsidRPr="0056668E">
              <w:rPr>
                <w:rFonts w:ascii="Times New Roman" w:eastAsia="Times New Roman" w:hAnsi="Times New Roman" w:cs="Times New Roman"/>
                <w:b/>
                <w:bCs/>
                <w:color w:val="000000"/>
                <w:sz w:val="24"/>
                <w:szCs w:val="24"/>
                <w:lang w:val="en-GB" w:eastAsia="en-GB"/>
              </w:rPr>
              <w:t>primici</w:t>
            </w:r>
            <w:proofErr w:type="spellEnd"/>
          </w:p>
        </w:tc>
        <w:tc>
          <w:tcPr>
            <w:tcW w:w="1164"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6668E" w:rsidRPr="0056668E" w:rsidRDefault="0056668E" w:rsidP="0056668E">
            <w:pPr>
              <w:spacing w:after="0" w:line="240" w:lineRule="auto"/>
              <w:jc w:val="center"/>
              <w:rPr>
                <w:rFonts w:ascii="Times New Roman" w:eastAsia="Times New Roman" w:hAnsi="Times New Roman" w:cs="Times New Roman"/>
                <w:b/>
                <w:bCs/>
                <w:color w:val="000000"/>
                <w:sz w:val="24"/>
                <w:szCs w:val="24"/>
                <w:lang w:val="en-GB" w:eastAsia="en-GB"/>
              </w:rPr>
            </w:pPr>
            <w:r w:rsidRPr="0056668E">
              <w:rPr>
                <w:rFonts w:ascii="Times New Roman" w:eastAsia="Times New Roman" w:hAnsi="Times New Roman" w:cs="Times New Roman"/>
                <w:b/>
                <w:bCs/>
                <w:color w:val="000000"/>
                <w:sz w:val="24"/>
                <w:szCs w:val="24"/>
                <w:lang w:val="en-GB" w:eastAsia="en-GB"/>
              </w:rPr>
              <w:t xml:space="preserve">IZVOR </w:t>
            </w:r>
            <w:proofErr w:type="gramStart"/>
            <w:r w:rsidRPr="0056668E">
              <w:rPr>
                <w:rFonts w:ascii="Times New Roman" w:eastAsia="Times New Roman" w:hAnsi="Times New Roman" w:cs="Times New Roman"/>
                <w:b/>
                <w:bCs/>
                <w:color w:val="000000"/>
                <w:sz w:val="24"/>
                <w:szCs w:val="24"/>
                <w:lang w:val="en-GB" w:eastAsia="en-GB"/>
              </w:rPr>
              <w:t xml:space="preserve">561  </w:t>
            </w:r>
            <w:proofErr w:type="spellStart"/>
            <w:r w:rsidRPr="0056668E">
              <w:rPr>
                <w:rFonts w:ascii="Times New Roman" w:eastAsia="Times New Roman" w:hAnsi="Times New Roman" w:cs="Times New Roman"/>
                <w:b/>
                <w:bCs/>
                <w:color w:val="000000"/>
                <w:sz w:val="24"/>
                <w:szCs w:val="24"/>
                <w:lang w:val="en-GB" w:eastAsia="en-GB"/>
              </w:rPr>
              <w:t>Europski</w:t>
            </w:r>
            <w:proofErr w:type="spellEnd"/>
            <w:proofErr w:type="gramEnd"/>
            <w:r w:rsidRPr="0056668E">
              <w:rPr>
                <w:rFonts w:ascii="Times New Roman" w:eastAsia="Times New Roman" w:hAnsi="Times New Roman" w:cs="Times New Roman"/>
                <w:b/>
                <w:bCs/>
                <w:color w:val="000000"/>
                <w:sz w:val="24"/>
                <w:szCs w:val="24"/>
                <w:lang w:val="en-GB" w:eastAsia="en-GB"/>
              </w:rPr>
              <w:t xml:space="preserve"> </w:t>
            </w:r>
            <w:proofErr w:type="spellStart"/>
            <w:r w:rsidRPr="0056668E">
              <w:rPr>
                <w:rFonts w:ascii="Times New Roman" w:eastAsia="Times New Roman" w:hAnsi="Times New Roman" w:cs="Times New Roman"/>
                <w:b/>
                <w:bCs/>
                <w:color w:val="000000"/>
                <w:sz w:val="24"/>
                <w:szCs w:val="24"/>
                <w:lang w:val="en-GB" w:eastAsia="en-GB"/>
              </w:rPr>
              <w:t>socijalni</w:t>
            </w:r>
            <w:proofErr w:type="spellEnd"/>
            <w:r w:rsidRPr="0056668E">
              <w:rPr>
                <w:rFonts w:ascii="Times New Roman" w:eastAsia="Times New Roman" w:hAnsi="Times New Roman" w:cs="Times New Roman"/>
                <w:b/>
                <w:bCs/>
                <w:color w:val="000000"/>
                <w:sz w:val="24"/>
                <w:szCs w:val="24"/>
                <w:lang w:val="en-GB" w:eastAsia="en-GB"/>
              </w:rPr>
              <w:t xml:space="preserve"> fond (ESF)   </w:t>
            </w:r>
          </w:p>
        </w:tc>
        <w:tc>
          <w:tcPr>
            <w:tcW w:w="125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6668E" w:rsidRPr="0056668E" w:rsidRDefault="0056668E" w:rsidP="0056668E">
            <w:pPr>
              <w:spacing w:after="0" w:line="240" w:lineRule="auto"/>
              <w:jc w:val="center"/>
              <w:rPr>
                <w:rFonts w:ascii="Times New Roman" w:eastAsia="Times New Roman" w:hAnsi="Times New Roman" w:cs="Times New Roman"/>
                <w:b/>
                <w:bCs/>
                <w:color w:val="000000"/>
                <w:sz w:val="24"/>
                <w:szCs w:val="24"/>
                <w:lang w:val="en-GB" w:eastAsia="en-GB"/>
              </w:rPr>
            </w:pPr>
            <w:r w:rsidRPr="0056668E">
              <w:rPr>
                <w:rFonts w:ascii="Times New Roman" w:eastAsia="Times New Roman" w:hAnsi="Times New Roman" w:cs="Times New Roman"/>
                <w:b/>
                <w:bCs/>
                <w:color w:val="000000"/>
                <w:sz w:val="24"/>
                <w:szCs w:val="24"/>
                <w:lang w:val="en-GB" w:eastAsia="en-GB"/>
              </w:rPr>
              <w:t>UKUPNO DONOS</w:t>
            </w:r>
          </w:p>
        </w:tc>
      </w:tr>
      <w:tr w:rsidR="0056668E" w:rsidRPr="0056668E" w:rsidTr="00BA592E">
        <w:trPr>
          <w:trHeight w:val="464"/>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r>
      <w:tr w:rsidR="0056668E" w:rsidRPr="0056668E" w:rsidTr="00BA592E">
        <w:trPr>
          <w:trHeight w:val="958"/>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56668E" w:rsidRPr="0056668E" w:rsidRDefault="0056668E" w:rsidP="0056668E">
            <w:pPr>
              <w:spacing w:after="0" w:line="240" w:lineRule="auto"/>
              <w:rPr>
                <w:rFonts w:ascii="Times New Roman" w:eastAsia="Times New Roman" w:hAnsi="Times New Roman" w:cs="Times New Roman"/>
                <w:b/>
                <w:bCs/>
                <w:color w:val="000000"/>
                <w:sz w:val="24"/>
                <w:szCs w:val="24"/>
                <w:lang w:val="en-GB" w:eastAsia="en-GB"/>
              </w:rPr>
            </w:pPr>
          </w:p>
        </w:tc>
      </w:tr>
      <w:tr w:rsidR="0056668E" w:rsidRPr="0056668E" w:rsidTr="00BA592E">
        <w:trPr>
          <w:trHeight w:val="508"/>
        </w:trPr>
        <w:tc>
          <w:tcPr>
            <w:tcW w:w="1160" w:type="dxa"/>
            <w:tcBorders>
              <w:top w:val="nil"/>
              <w:left w:val="single" w:sz="4" w:space="0" w:color="auto"/>
              <w:bottom w:val="single" w:sz="4" w:space="0" w:color="auto"/>
              <w:right w:val="single" w:sz="4" w:space="0" w:color="auto"/>
            </w:tcBorders>
            <w:shd w:val="clear" w:color="000000" w:fill="FFF2CC"/>
            <w:noWrap/>
            <w:vAlign w:val="center"/>
            <w:hideMark/>
          </w:tcPr>
          <w:p w:rsidR="0056668E" w:rsidRPr="0056668E" w:rsidRDefault="0056668E" w:rsidP="0056668E">
            <w:pPr>
              <w:spacing w:after="0" w:line="240" w:lineRule="auto"/>
              <w:jc w:val="center"/>
              <w:rPr>
                <w:rFonts w:ascii="Times New Roman" w:eastAsia="Times New Roman" w:hAnsi="Times New Roman" w:cs="Times New Roman"/>
                <w:color w:val="000000"/>
                <w:sz w:val="24"/>
                <w:szCs w:val="24"/>
                <w:lang w:val="en-GB" w:eastAsia="en-GB"/>
              </w:rPr>
            </w:pPr>
            <w:r w:rsidRPr="0056668E">
              <w:rPr>
                <w:rFonts w:ascii="Times New Roman" w:eastAsia="Times New Roman" w:hAnsi="Times New Roman" w:cs="Times New Roman"/>
                <w:color w:val="000000"/>
                <w:sz w:val="24"/>
                <w:szCs w:val="24"/>
                <w:lang w:val="en-GB" w:eastAsia="en-GB"/>
              </w:rPr>
              <w:t>329.042</w:t>
            </w:r>
          </w:p>
        </w:tc>
        <w:tc>
          <w:tcPr>
            <w:tcW w:w="1189" w:type="dxa"/>
            <w:tcBorders>
              <w:top w:val="nil"/>
              <w:left w:val="nil"/>
              <w:bottom w:val="single" w:sz="4" w:space="0" w:color="auto"/>
              <w:right w:val="single" w:sz="4" w:space="0" w:color="auto"/>
            </w:tcBorders>
            <w:shd w:val="clear" w:color="000000" w:fill="FFF2CC"/>
            <w:noWrap/>
            <w:vAlign w:val="center"/>
            <w:hideMark/>
          </w:tcPr>
          <w:p w:rsidR="0056668E" w:rsidRPr="0056668E" w:rsidRDefault="0056668E" w:rsidP="0056668E">
            <w:pPr>
              <w:spacing w:after="0" w:line="240" w:lineRule="auto"/>
              <w:jc w:val="center"/>
              <w:rPr>
                <w:rFonts w:ascii="Times New Roman" w:eastAsia="Times New Roman" w:hAnsi="Times New Roman" w:cs="Times New Roman"/>
                <w:color w:val="000000"/>
                <w:sz w:val="24"/>
                <w:szCs w:val="24"/>
                <w:lang w:val="en-GB" w:eastAsia="en-GB"/>
              </w:rPr>
            </w:pPr>
            <w:r w:rsidRPr="0056668E">
              <w:rPr>
                <w:rFonts w:ascii="Times New Roman" w:eastAsia="Times New Roman" w:hAnsi="Times New Roman" w:cs="Times New Roman"/>
                <w:color w:val="000000"/>
                <w:sz w:val="24"/>
                <w:szCs w:val="24"/>
                <w:lang w:val="en-GB" w:eastAsia="en-GB"/>
              </w:rPr>
              <w:t>1.252.020</w:t>
            </w:r>
          </w:p>
        </w:tc>
        <w:tc>
          <w:tcPr>
            <w:tcW w:w="1203" w:type="dxa"/>
            <w:tcBorders>
              <w:top w:val="nil"/>
              <w:left w:val="nil"/>
              <w:bottom w:val="single" w:sz="4" w:space="0" w:color="auto"/>
              <w:right w:val="single" w:sz="4" w:space="0" w:color="auto"/>
            </w:tcBorders>
            <w:shd w:val="clear" w:color="000000" w:fill="FFF2CC"/>
            <w:noWrap/>
            <w:vAlign w:val="center"/>
            <w:hideMark/>
          </w:tcPr>
          <w:p w:rsidR="0056668E" w:rsidRPr="0056668E" w:rsidRDefault="0056668E" w:rsidP="0056668E">
            <w:pPr>
              <w:spacing w:after="0" w:line="240" w:lineRule="auto"/>
              <w:jc w:val="center"/>
              <w:rPr>
                <w:rFonts w:ascii="Times New Roman" w:eastAsia="Times New Roman" w:hAnsi="Times New Roman" w:cs="Times New Roman"/>
                <w:color w:val="000000"/>
                <w:sz w:val="24"/>
                <w:szCs w:val="24"/>
                <w:lang w:val="en-GB" w:eastAsia="en-GB"/>
              </w:rPr>
            </w:pPr>
            <w:r w:rsidRPr="0056668E">
              <w:rPr>
                <w:rFonts w:ascii="Times New Roman" w:eastAsia="Times New Roman" w:hAnsi="Times New Roman" w:cs="Times New Roman"/>
                <w:color w:val="000000"/>
                <w:sz w:val="24"/>
                <w:szCs w:val="24"/>
                <w:lang w:val="en-GB" w:eastAsia="en-GB"/>
              </w:rPr>
              <w:t>620.709</w:t>
            </w:r>
          </w:p>
        </w:tc>
        <w:tc>
          <w:tcPr>
            <w:tcW w:w="1232" w:type="dxa"/>
            <w:tcBorders>
              <w:top w:val="nil"/>
              <w:left w:val="nil"/>
              <w:bottom w:val="single" w:sz="4" w:space="0" w:color="auto"/>
              <w:right w:val="single" w:sz="4" w:space="0" w:color="auto"/>
            </w:tcBorders>
            <w:shd w:val="clear" w:color="000000" w:fill="FFF2CC"/>
            <w:noWrap/>
            <w:vAlign w:val="center"/>
            <w:hideMark/>
          </w:tcPr>
          <w:p w:rsidR="0056668E" w:rsidRPr="0056668E" w:rsidRDefault="0056668E" w:rsidP="0056668E">
            <w:pPr>
              <w:spacing w:after="0" w:line="240" w:lineRule="auto"/>
              <w:jc w:val="center"/>
              <w:rPr>
                <w:rFonts w:ascii="Times New Roman" w:eastAsia="Times New Roman" w:hAnsi="Times New Roman" w:cs="Times New Roman"/>
                <w:color w:val="000000"/>
                <w:sz w:val="24"/>
                <w:szCs w:val="24"/>
                <w:lang w:val="en-GB" w:eastAsia="en-GB"/>
              </w:rPr>
            </w:pPr>
            <w:r w:rsidRPr="0056668E">
              <w:rPr>
                <w:rFonts w:ascii="Times New Roman" w:eastAsia="Times New Roman" w:hAnsi="Times New Roman" w:cs="Times New Roman"/>
                <w:color w:val="000000"/>
                <w:sz w:val="24"/>
                <w:szCs w:val="24"/>
                <w:lang w:val="en-GB" w:eastAsia="en-GB"/>
              </w:rPr>
              <w:t>206.044</w:t>
            </w:r>
          </w:p>
        </w:tc>
        <w:tc>
          <w:tcPr>
            <w:tcW w:w="1145" w:type="dxa"/>
            <w:tcBorders>
              <w:top w:val="nil"/>
              <w:left w:val="nil"/>
              <w:bottom w:val="single" w:sz="4" w:space="0" w:color="auto"/>
              <w:right w:val="single" w:sz="4" w:space="0" w:color="auto"/>
            </w:tcBorders>
            <w:shd w:val="clear" w:color="000000" w:fill="FFF2CC"/>
            <w:noWrap/>
            <w:vAlign w:val="center"/>
            <w:hideMark/>
          </w:tcPr>
          <w:p w:rsidR="0056668E" w:rsidRPr="0056668E" w:rsidRDefault="0056668E" w:rsidP="0056668E">
            <w:pPr>
              <w:spacing w:after="0" w:line="240" w:lineRule="auto"/>
              <w:jc w:val="center"/>
              <w:rPr>
                <w:rFonts w:ascii="Times New Roman" w:eastAsia="Times New Roman" w:hAnsi="Times New Roman" w:cs="Times New Roman"/>
                <w:color w:val="000000"/>
                <w:sz w:val="24"/>
                <w:szCs w:val="24"/>
                <w:lang w:val="en-GB" w:eastAsia="en-GB"/>
              </w:rPr>
            </w:pPr>
            <w:r w:rsidRPr="0056668E">
              <w:rPr>
                <w:rFonts w:ascii="Times New Roman" w:eastAsia="Times New Roman" w:hAnsi="Times New Roman" w:cs="Times New Roman"/>
                <w:color w:val="000000"/>
                <w:sz w:val="24"/>
                <w:szCs w:val="24"/>
                <w:lang w:val="en-GB" w:eastAsia="en-GB"/>
              </w:rPr>
              <w:t>21.799</w:t>
            </w:r>
          </w:p>
        </w:tc>
        <w:tc>
          <w:tcPr>
            <w:tcW w:w="1145" w:type="dxa"/>
            <w:tcBorders>
              <w:top w:val="nil"/>
              <w:left w:val="nil"/>
              <w:bottom w:val="single" w:sz="4" w:space="0" w:color="auto"/>
              <w:right w:val="single" w:sz="4" w:space="0" w:color="auto"/>
            </w:tcBorders>
            <w:shd w:val="clear" w:color="000000" w:fill="FFF2CC"/>
            <w:noWrap/>
            <w:vAlign w:val="center"/>
            <w:hideMark/>
          </w:tcPr>
          <w:p w:rsidR="0056668E" w:rsidRPr="0056668E" w:rsidRDefault="0056668E" w:rsidP="0056668E">
            <w:pPr>
              <w:spacing w:after="0" w:line="240" w:lineRule="auto"/>
              <w:jc w:val="center"/>
              <w:rPr>
                <w:rFonts w:ascii="Times New Roman" w:eastAsia="Times New Roman" w:hAnsi="Times New Roman" w:cs="Times New Roman"/>
                <w:color w:val="000000"/>
                <w:sz w:val="24"/>
                <w:szCs w:val="24"/>
                <w:lang w:val="en-GB" w:eastAsia="en-GB"/>
              </w:rPr>
            </w:pPr>
            <w:r w:rsidRPr="0056668E">
              <w:rPr>
                <w:rFonts w:ascii="Times New Roman" w:eastAsia="Times New Roman" w:hAnsi="Times New Roman" w:cs="Times New Roman"/>
                <w:color w:val="000000"/>
                <w:sz w:val="24"/>
                <w:szCs w:val="24"/>
                <w:lang w:val="en-GB" w:eastAsia="en-GB"/>
              </w:rPr>
              <w:t>399.018</w:t>
            </w:r>
          </w:p>
        </w:tc>
        <w:tc>
          <w:tcPr>
            <w:tcW w:w="1164" w:type="dxa"/>
            <w:tcBorders>
              <w:top w:val="nil"/>
              <w:left w:val="nil"/>
              <w:bottom w:val="single" w:sz="4" w:space="0" w:color="auto"/>
              <w:right w:val="single" w:sz="4" w:space="0" w:color="auto"/>
            </w:tcBorders>
            <w:shd w:val="clear" w:color="000000" w:fill="FFF2CC"/>
            <w:noWrap/>
            <w:vAlign w:val="center"/>
            <w:hideMark/>
          </w:tcPr>
          <w:p w:rsidR="0056668E" w:rsidRPr="0056668E" w:rsidRDefault="0056668E" w:rsidP="0056668E">
            <w:pPr>
              <w:spacing w:after="0" w:line="240" w:lineRule="auto"/>
              <w:jc w:val="center"/>
              <w:rPr>
                <w:rFonts w:ascii="Times New Roman" w:eastAsia="Times New Roman" w:hAnsi="Times New Roman" w:cs="Times New Roman"/>
                <w:color w:val="000000"/>
                <w:sz w:val="24"/>
                <w:szCs w:val="24"/>
                <w:lang w:val="en-GB" w:eastAsia="en-GB"/>
              </w:rPr>
            </w:pPr>
            <w:r w:rsidRPr="0056668E">
              <w:rPr>
                <w:rFonts w:ascii="Times New Roman" w:eastAsia="Times New Roman" w:hAnsi="Times New Roman" w:cs="Times New Roman"/>
                <w:color w:val="000000"/>
                <w:sz w:val="24"/>
                <w:szCs w:val="24"/>
                <w:lang w:val="en-GB" w:eastAsia="en-GB"/>
              </w:rPr>
              <w:t>1.068</w:t>
            </w:r>
          </w:p>
        </w:tc>
        <w:tc>
          <w:tcPr>
            <w:tcW w:w="1256" w:type="dxa"/>
            <w:tcBorders>
              <w:top w:val="nil"/>
              <w:left w:val="nil"/>
              <w:bottom w:val="single" w:sz="4" w:space="0" w:color="auto"/>
              <w:right w:val="single" w:sz="4" w:space="0" w:color="auto"/>
            </w:tcBorders>
            <w:shd w:val="clear" w:color="000000" w:fill="FFF2CC"/>
            <w:noWrap/>
            <w:vAlign w:val="center"/>
            <w:hideMark/>
          </w:tcPr>
          <w:p w:rsidR="0056668E" w:rsidRPr="0056668E" w:rsidRDefault="0056668E" w:rsidP="0056668E">
            <w:pPr>
              <w:spacing w:after="0" w:line="240" w:lineRule="auto"/>
              <w:jc w:val="center"/>
              <w:rPr>
                <w:rFonts w:ascii="Times New Roman" w:eastAsia="Times New Roman" w:hAnsi="Times New Roman" w:cs="Times New Roman"/>
                <w:b/>
                <w:bCs/>
                <w:color w:val="000000"/>
                <w:sz w:val="24"/>
                <w:szCs w:val="24"/>
                <w:lang w:val="en-GB" w:eastAsia="en-GB"/>
              </w:rPr>
            </w:pPr>
            <w:r w:rsidRPr="0056668E">
              <w:rPr>
                <w:rFonts w:ascii="Times New Roman" w:eastAsia="Times New Roman" w:hAnsi="Times New Roman" w:cs="Times New Roman"/>
                <w:b/>
                <w:bCs/>
                <w:color w:val="000000"/>
                <w:sz w:val="24"/>
                <w:szCs w:val="24"/>
                <w:lang w:val="en-GB" w:eastAsia="en-GB"/>
              </w:rPr>
              <w:t>2.829.700</w:t>
            </w:r>
          </w:p>
        </w:tc>
      </w:tr>
    </w:tbl>
    <w:p w:rsidR="00F8704C" w:rsidRDefault="00F8704C" w:rsidP="0069577C">
      <w:pPr>
        <w:jc w:val="both"/>
      </w:pPr>
    </w:p>
    <w:p w:rsidR="007C2F59" w:rsidRPr="000A2352" w:rsidRDefault="007C2F59" w:rsidP="0069577C">
      <w:pPr>
        <w:jc w:val="both"/>
        <w:rPr>
          <w:rFonts w:ascii="Times New Roman" w:hAnsi="Times New Roman" w:cs="Times New Roman"/>
          <w:sz w:val="24"/>
          <w:szCs w:val="24"/>
        </w:rPr>
      </w:pPr>
      <w:r w:rsidRPr="000A2352">
        <w:rPr>
          <w:rFonts w:ascii="Times New Roman" w:hAnsi="Times New Roman" w:cs="Times New Roman"/>
          <w:sz w:val="24"/>
          <w:szCs w:val="24"/>
        </w:rPr>
        <w:t xml:space="preserve">Donos sredstava se u najvećoj mjeri odnosi na sredstva </w:t>
      </w:r>
      <w:r w:rsidR="001102F9" w:rsidRPr="000A2352">
        <w:rPr>
          <w:rFonts w:ascii="Times New Roman" w:hAnsi="Times New Roman" w:cs="Times New Roman"/>
          <w:sz w:val="24"/>
          <w:szCs w:val="24"/>
        </w:rPr>
        <w:t xml:space="preserve">iz izvora 43 (školarine temeljem studija Medicina na engleskom jeziku koje su naplaćene u 2022. godini, a odnose se na cijelu akademsku godinu 2022/2023), </w:t>
      </w:r>
      <w:r w:rsidR="005166A7" w:rsidRPr="000A2352">
        <w:rPr>
          <w:rFonts w:ascii="Times New Roman" w:hAnsi="Times New Roman" w:cs="Times New Roman"/>
          <w:sz w:val="24"/>
          <w:szCs w:val="24"/>
        </w:rPr>
        <w:t xml:space="preserve">na sredstva predujmova iz Obzor EU projekata te drugih projekata, na vlastita sredstva </w:t>
      </w:r>
      <w:r w:rsidR="001102F9" w:rsidRPr="000A2352">
        <w:rPr>
          <w:rFonts w:ascii="Times New Roman" w:hAnsi="Times New Roman" w:cs="Times New Roman"/>
          <w:sz w:val="24"/>
          <w:szCs w:val="24"/>
        </w:rPr>
        <w:t>te na sredstva iz izvora 11 (programsko financiranje znanstvene djelatnosti).</w:t>
      </w:r>
    </w:p>
    <w:p w:rsidR="005166A7" w:rsidRPr="000A2352" w:rsidRDefault="005166A7" w:rsidP="0069577C">
      <w:pPr>
        <w:jc w:val="both"/>
        <w:rPr>
          <w:rFonts w:ascii="Times New Roman" w:hAnsi="Times New Roman" w:cs="Times New Roman"/>
          <w:sz w:val="24"/>
          <w:szCs w:val="24"/>
        </w:rPr>
      </w:pPr>
      <w:r w:rsidRPr="000A2352">
        <w:rPr>
          <w:rFonts w:ascii="Times New Roman" w:hAnsi="Times New Roman" w:cs="Times New Roman"/>
          <w:sz w:val="24"/>
          <w:szCs w:val="24"/>
        </w:rPr>
        <w:t xml:space="preserve">Navedena sredstva iz donosa </w:t>
      </w:r>
      <w:r w:rsidR="006F1E4A" w:rsidRPr="000A2352">
        <w:rPr>
          <w:rFonts w:ascii="Times New Roman" w:hAnsi="Times New Roman" w:cs="Times New Roman"/>
          <w:sz w:val="24"/>
          <w:szCs w:val="24"/>
        </w:rPr>
        <w:t xml:space="preserve">su </w:t>
      </w:r>
      <w:r w:rsidRPr="000A2352">
        <w:rPr>
          <w:rFonts w:ascii="Times New Roman" w:hAnsi="Times New Roman" w:cs="Times New Roman"/>
          <w:sz w:val="24"/>
          <w:szCs w:val="24"/>
        </w:rPr>
        <w:t>se namjenski troš</w:t>
      </w:r>
      <w:r w:rsidR="00E1555C" w:rsidRPr="000A2352">
        <w:rPr>
          <w:rFonts w:ascii="Times New Roman" w:hAnsi="Times New Roman" w:cs="Times New Roman"/>
          <w:sz w:val="24"/>
          <w:szCs w:val="24"/>
        </w:rPr>
        <w:t>ila</w:t>
      </w:r>
      <w:r w:rsidRPr="000A2352">
        <w:rPr>
          <w:rFonts w:ascii="Times New Roman" w:hAnsi="Times New Roman" w:cs="Times New Roman"/>
          <w:sz w:val="24"/>
          <w:szCs w:val="24"/>
        </w:rPr>
        <w:t xml:space="preserve"> u promatranom razdoblju; naime, veliki  dio rashoda u razdoblju 01-</w:t>
      </w:r>
      <w:r w:rsidR="00567DAF" w:rsidRPr="000A2352">
        <w:rPr>
          <w:rFonts w:ascii="Times New Roman" w:hAnsi="Times New Roman" w:cs="Times New Roman"/>
          <w:sz w:val="24"/>
          <w:szCs w:val="24"/>
        </w:rPr>
        <w:t>12</w:t>
      </w:r>
      <w:r w:rsidRPr="000A2352">
        <w:rPr>
          <w:rFonts w:ascii="Times New Roman" w:hAnsi="Times New Roman" w:cs="Times New Roman"/>
          <w:sz w:val="24"/>
          <w:szCs w:val="24"/>
        </w:rPr>
        <w:t>/2023. godine se financirao iz donosa sredstava iz prethodne godine.</w:t>
      </w:r>
    </w:p>
    <w:p w:rsidR="005166A7" w:rsidRPr="000A2352" w:rsidRDefault="009E0296" w:rsidP="0069577C">
      <w:pPr>
        <w:spacing w:line="240" w:lineRule="auto"/>
        <w:jc w:val="both"/>
        <w:rPr>
          <w:rFonts w:ascii="Times New Roman" w:hAnsi="Times New Roman" w:cs="Times New Roman"/>
          <w:sz w:val="24"/>
          <w:szCs w:val="24"/>
        </w:rPr>
      </w:pPr>
      <w:r w:rsidRPr="000A2352">
        <w:rPr>
          <w:rFonts w:ascii="Times New Roman" w:hAnsi="Times New Roman" w:cs="Times New Roman"/>
          <w:sz w:val="24"/>
          <w:szCs w:val="24"/>
        </w:rPr>
        <w:t xml:space="preserve">Programska sredstva </w:t>
      </w:r>
      <w:r w:rsidR="00D00A5D" w:rsidRPr="000A2352">
        <w:rPr>
          <w:rFonts w:ascii="Times New Roman" w:hAnsi="Times New Roman" w:cs="Times New Roman"/>
          <w:sz w:val="24"/>
          <w:szCs w:val="24"/>
        </w:rPr>
        <w:t xml:space="preserve">namjenskog financiranja znanosti </w:t>
      </w:r>
      <w:r w:rsidRPr="000A2352">
        <w:rPr>
          <w:rFonts w:ascii="Times New Roman" w:hAnsi="Times New Roman" w:cs="Times New Roman"/>
          <w:sz w:val="24"/>
          <w:szCs w:val="24"/>
        </w:rPr>
        <w:t xml:space="preserve">(VIF) </w:t>
      </w:r>
      <w:r w:rsidR="00D00A5D" w:rsidRPr="000A2352">
        <w:rPr>
          <w:rFonts w:ascii="Times New Roman" w:hAnsi="Times New Roman" w:cs="Times New Roman"/>
          <w:sz w:val="24"/>
          <w:szCs w:val="24"/>
        </w:rPr>
        <w:t xml:space="preserve">nisu u cijelosti </w:t>
      </w:r>
      <w:r w:rsidR="00E1555C" w:rsidRPr="000A2352">
        <w:rPr>
          <w:rFonts w:ascii="Times New Roman" w:hAnsi="Times New Roman" w:cs="Times New Roman"/>
          <w:sz w:val="24"/>
          <w:szCs w:val="24"/>
        </w:rPr>
        <w:t xml:space="preserve">bila </w:t>
      </w:r>
      <w:r w:rsidR="00D00A5D" w:rsidRPr="000A2352">
        <w:rPr>
          <w:rFonts w:ascii="Times New Roman" w:hAnsi="Times New Roman" w:cs="Times New Roman"/>
          <w:sz w:val="24"/>
          <w:szCs w:val="24"/>
        </w:rPr>
        <w:t>potrošena iz slijedećih razloga:</w:t>
      </w:r>
    </w:p>
    <w:p w:rsidR="00D00A5D" w:rsidRPr="000A2352" w:rsidRDefault="00D00A5D" w:rsidP="0069577C">
      <w:pPr>
        <w:spacing w:line="240" w:lineRule="auto"/>
        <w:jc w:val="both"/>
        <w:rPr>
          <w:rFonts w:ascii="Times New Roman" w:hAnsi="Times New Roman" w:cs="Times New Roman"/>
          <w:sz w:val="24"/>
          <w:szCs w:val="24"/>
        </w:rPr>
      </w:pPr>
      <w:r w:rsidRPr="000A2352">
        <w:rPr>
          <w:rFonts w:ascii="Times New Roman" w:hAnsi="Times New Roman" w:cs="Times New Roman"/>
          <w:sz w:val="24"/>
          <w:szCs w:val="24"/>
        </w:rPr>
        <w:t>-Radi problema sa statikom zgrade našeg fakulteta dva kata u kojima su se nalazili znanstveni laboratoriji su morala biti iseljena te je znanstveni rad te potrošnja sredstava za znanost i iz navedenog razloga bila smanjena.</w:t>
      </w:r>
    </w:p>
    <w:p w:rsidR="00D00A5D" w:rsidRPr="000A2352" w:rsidRDefault="00D00A5D" w:rsidP="0069577C">
      <w:pPr>
        <w:spacing w:line="240" w:lineRule="auto"/>
        <w:jc w:val="both"/>
        <w:rPr>
          <w:rFonts w:ascii="Times New Roman" w:hAnsi="Times New Roman" w:cs="Times New Roman"/>
          <w:sz w:val="24"/>
          <w:szCs w:val="24"/>
        </w:rPr>
      </w:pPr>
      <w:r w:rsidRPr="000A2352">
        <w:rPr>
          <w:rFonts w:ascii="Times New Roman" w:hAnsi="Times New Roman" w:cs="Times New Roman"/>
          <w:sz w:val="24"/>
          <w:szCs w:val="24"/>
        </w:rPr>
        <w:t xml:space="preserve">-Sredstva VIF-a za tekuću godinu uvijek stižu u drugom dijelu godine, a nekada i u zadnjem kvartalu, pa ne mogu biti potrošena do kraja godine. </w:t>
      </w:r>
    </w:p>
    <w:p w:rsidR="00D00A5D" w:rsidRPr="000A2352" w:rsidRDefault="00D00A5D" w:rsidP="0069577C">
      <w:pPr>
        <w:jc w:val="both"/>
        <w:rPr>
          <w:rFonts w:ascii="Times New Roman" w:hAnsi="Times New Roman" w:cs="Times New Roman"/>
          <w:sz w:val="24"/>
          <w:szCs w:val="24"/>
        </w:rPr>
      </w:pPr>
      <w:r w:rsidRPr="000A2352">
        <w:rPr>
          <w:rFonts w:ascii="Times New Roman" w:hAnsi="Times New Roman" w:cs="Times New Roman"/>
          <w:sz w:val="24"/>
          <w:szCs w:val="24"/>
        </w:rPr>
        <w:t>U slijedećem razdoblju navedena sredstva će biti namjenski utrošena.</w:t>
      </w:r>
    </w:p>
    <w:p w:rsidR="0069577C" w:rsidRPr="000A2352" w:rsidRDefault="0069577C" w:rsidP="0069577C">
      <w:pPr>
        <w:jc w:val="both"/>
        <w:rPr>
          <w:rFonts w:ascii="Times New Roman" w:hAnsi="Times New Roman" w:cs="Times New Roman"/>
          <w:sz w:val="24"/>
          <w:szCs w:val="24"/>
        </w:rPr>
      </w:pPr>
      <w:r w:rsidRPr="000A2352">
        <w:rPr>
          <w:rFonts w:ascii="Times New Roman" w:hAnsi="Times New Roman" w:cs="Times New Roman"/>
          <w:b/>
          <w:sz w:val="24"/>
          <w:szCs w:val="24"/>
        </w:rPr>
        <w:lastRenderedPageBreak/>
        <w:t xml:space="preserve">Odnos sredstava </w:t>
      </w:r>
      <w:r w:rsidR="00362A71" w:rsidRPr="000A2352">
        <w:rPr>
          <w:rFonts w:ascii="Times New Roman" w:hAnsi="Times New Roman" w:cs="Times New Roman"/>
          <w:b/>
          <w:sz w:val="24"/>
          <w:szCs w:val="24"/>
        </w:rPr>
        <w:t xml:space="preserve">na kraju </w:t>
      </w:r>
      <w:r w:rsidRPr="000A2352">
        <w:rPr>
          <w:rFonts w:ascii="Times New Roman" w:hAnsi="Times New Roman" w:cs="Times New Roman"/>
          <w:b/>
          <w:sz w:val="24"/>
          <w:szCs w:val="24"/>
        </w:rPr>
        <w:t>2023</w:t>
      </w:r>
      <w:r w:rsidR="00362A71" w:rsidRPr="000A2352">
        <w:rPr>
          <w:rFonts w:ascii="Times New Roman" w:hAnsi="Times New Roman" w:cs="Times New Roman"/>
          <w:b/>
          <w:sz w:val="24"/>
          <w:szCs w:val="24"/>
        </w:rPr>
        <w:t>. godine u slijedeću godinu</w:t>
      </w:r>
      <w:r w:rsidRPr="000A2352">
        <w:rPr>
          <w:rFonts w:ascii="Times New Roman" w:hAnsi="Times New Roman" w:cs="Times New Roman"/>
          <w:sz w:val="24"/>
          <w:szCs w:val="24"/>
        </w:rPr>
        <w:t xml:space="preserve"> ostvaren je u visini </w:t>
      </w:r>
      <w:r w:rsidR="00567DAF" w:rsidRPr="000A2352">
        <w:rPr>
          <w:rFonts w:ascii="Times New Roman" w:hAnsi="Times New Roman" w:cs="Times New Roman"/>
          <w:sz w:val="24"/>
          <w:szCs w:val="24"/>
        </w:rPr>
        <w:t>124,75</w:t>
      </w:r>
      <w:r w:rsidRPr="000A2352">
        <w:rPr>
          <w:rFonts w:ascii="Times New Roman" w:hAnsi="Times New Roman" w:cs="Times New Roman"/>
          <w:sz w:val="24"/>
          <w:szCs w:val="24"/>
        </w:rPr>
        <w:t xml:space="preserve">% </w:t>
      </w:r>
      <w:r w:rsidR="00567DAF" w:rsidRPr="000A2352">
        <w:rPr>
          <w:rFonts w:ascii="Times New Roman" w:hAnsi="Times New Roman" w:cs="Times New Roman"/>
          <w:sz w:val="24"/>
          <w:szCs w:val="24"/>
        </w:rPr>
        <w:t xml:space="preserve">planiranog iznosa, te 127,96% prošlogodišnjeg prijenosa. </w:t>
      </w:r>
      <w:r w:rsidRPr="000A2352">
        <w:rPr>
          <w:rFonts w:ascii="Times New Roman" w:hAnsi="Times New Roman" w:cs="Times New Roman"/>
          <w:sz w:val="24"/>
          <w:szCs w:val="24"/>
        </w:rPr>
        <w:t>Odnos sredstava na dan 3</w:t>
      </w:r>
      <w:r w:rsidR="00567DAF" w:rsidRPr="000A2352">
        <w:rPr>
          <w:rFonts w:ascii="Times New Roman" w:hAnsi="Times New Roman" w:cs="Times New Roman"/>
          <w:sz w:val="24"/>
          <w:szCs w:val="24"/>
        </w:rPr>
        <w:t>1</w:t>
      </w:r>
      <w:r w:rsidRPr="000A2352">
        <w:rPr>
          <w:rFonts w:ascii="Times New Roman" w:hAnsi="Times New Roman" w:cs="Times New Roman"/>
          <w:sz w:val="24"/>
          <w:szCs w:val="24"/>
        </w:rPr>
        <w:t>.</w:t>
      </w:r>
      <w:r w:rsidR="00567DAF" w:rsidRPr="000A2352">
        <w:rPr>
          <w:rFonts w:ascii="Times New Roman" w:hAnsi="Times New Roman" w:cs="Times New Roman"/>
          <w:sz w:val="24"/>
          <w:szCs w:val="24"/>
        </w:rPr>
        <w:t>12</w:t>
      </w:r>
      <w:r w:rsidRPr="000A2352">
        <w:rPr>
          <w:rFonts w:ascii="Times New Roman" w:hAnsi="Times New Roman" w:cs="Times New Roman"/>
          <w:sz w:val="24"/>
          <w:szCs w:val="24"/>
        </w:rPr>
        <w:t>.2023.</w:t>
      </w:r>
      <w:r w:rsidR="00D0796D" w:rsidRPr="000A2352">
        <w:rPr>
          <w:rFonts w:ascii="Times New Roman" w:hAnsi="Times New Roman" w:cs="Times New Roman"/>
          <w:sz w:val="24"/>
          <w:szCs w:val="24"/>
        </w:rPr>
        <w:t xml:space="preserve"> </w:t>
      </w:r>
      <w:r w:rsidRPr="000A2352">
        <w:rPr>
          <w:rFonts w:ascii="Times New Roman" w:hAnsi="Times New Roman" w:cs="Times New Roman"/>
          <w:sz w:val="24"/>
          <w:szCs w:val="24"/>
        </w:rPr>
        <w:t xml:space="preserve">godine u iznosu od </w:t>
      </w:r>
      <w:r w:rsidR="00567DAF" w:rsidRPr="000A2352">
        <w:rPr>
          <w:rFonts w:ascii="Times New Roman" w:hAnsi="Times New Roman" w:cs="Times New Roman"/>
          <w:sz w:val="24"/>
          <w:szCs w:val="24"/>
        </w:rPr>
        <w:t>3.620.987,51</w:t>
      </w:r>
      <w:r w:rsidRPr="000A2352">
        <w:rPr>
          <w:rFonts w:ascii="Times New Roman" w:hAnsi="Times New Roman" w:cs="Times New Roman"/>
          <w:sz w:val="24"/>
          <w:szCs w:val="24"/>
        </w:rPr>
        <w:t xml:space="preserve"> EUR se odnosi na:</w:t>
      </w:r>
    </w:p>
    <w:p w:rsidR="00F8704C" w:rsidRPr="005166A7" w:rsidRDefault="00D0796D" w:rsidP="0069577C">
      <w:pPr>
        <w:jc w:val="both"/>
      </w:pPr>
      <w:r w:rsidRPr="00D0796D">
        <w:rPr>
          <w:noProof/>
        </w:rPr>
        <w:drawing>
          <wp:inline distT="0" distB="0" distL="0" distR="0">
            <wp:extent cx="5760720" cy="1226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226820"/>
                    </a:xfrm>
                    <a:prstGeom prst="rect">
                      <a:avLst/>
                    </a:prstGeom>
                    <a:noFill/>
                    <a:ln>
                      <a:noFill/>
                    </a:ln>
                  </pic:spPr>
                </pic:pic>
              </a:graphicData>
            </a:graphic>
          </wp:inline>
        </w:drawing>
      </w:r>
    </w:p>
    <w:p w:rsidR="00E1555C" w:rsidRPr="00E1555C" w:rsidRDefault="00E1555C" w:rsidP="00E1555C">
      <w:pPr>
        <w:spacing w:after="0"/>
        <w:ind w:right="14"/>
        <w:jc w:val="both"/>
        <w:rPr>
          <w:rFonts w:ascii="Times New Roman" w:hAnsi="Times New Roman" w:cs="Times New Roman"/>
          <w:sz w:val="24"/>
          <w:szCs w:val="24"/>
        </w:rPr>
      </w:pPr>
      <w:r w:rsidRPr="00E1555C">
        <w:rPr>
          <w:rFonts w:ascii="Times New Roman" w:hAnsi="Times New Roman" w:cs="Times New Roman"/>
          <w:b/>
          <w:sz w:val="24"/>
          <w:szCs w:val="24"/>
        </w:rPr>
        <w:t>Izvor 31</w:t>
      </w:r>
      <w:r w:rsidRPr="00E1555C">
        <w:rPr>
          <w:rFonts w:ascii="Times New Roman" w:hAnsi="Times New Roman" w:cs="Times New Roman"/>
          <w:sz w:val="24"/>
          <w:szCs w:val="24"/>
        </w:rPr>
        <w:t>: Neutrošena sredstva iz vlastitih projekata za tržište, tečajeva trajne medicinske izobrazbe, Centra za medicinu spavanja, sudskih medicinska vještačenja, konzultantskih usluga te iznajmljivanja prostora. Ova sredstva će se utrošiti za podmirenje rashoda poslovanja u 2024. godini.</w:t>
      </w:r>
    </w:p>
    <w:p w:rsidR="00E1555C" w:rsidRPr="00E1555C" w:rsidRDefault="00E1555C" w:rsidP="00E1555C">
      <w:pPr>
        <w:spacing w:after="0"/>
        <w:ind w:right="14"/>
        <w:jc w:val="both"/>
        <w:rPr>
          <w:rFonts w:ascii="Times New Roman" w:hAnsi="Times New Roman" w:cs="Times New Roman"/>
          <w:sz w:val="24"/>
          <w:szCs w:val="24"/>
        </w:rPr>
      </w:pPr>
    </w:p>
    <w:p w:rsidR="00E1555C" w:rsidRPr="00E1555C" w:rsidRDefault="00E1555C" w:rsidP="00E1555C">
      <w:pPr>
        <w:spacing w:line="240" w:lineRule="auto"/>
        <w:jc w:val="both"/>
        <w:rPr>
          <w:rFonts w:ascii="Times New Roman" w:hAnsi="Times New Roman" w:cs="Times New Roman"/>
          <w:sz w:val="24"/>
          <w:szCs w:val="24"/>
        </w:rPr>
      </w:pPr>
      <w:r w:rsidRPr="00E1555C">
        <w:rPr>
          <w:rFonts w:ascii="Times New Roman" w:hAnsi="Times New Roman" w:cs="Times New Roman"/>
          <w:b/>
          <w:sz w:val="24"/>
          <w:szCs w:val="24"/>
        </w:rPr>
        <w:t>Izvor 43</w:t>
      </w:r>
      <w:r w:rsidRPr="00E1555C">
        <w:rPr>
          <w:rFonts w:ascii="Times New Roman" w:hAnsi="Times New Roman" w:cs="Times New Roman"/>
          <w:sz w:val="24"/>
          <w:szCs w:val="24"/>
        </w:rPr>
        <w:t>: Neutrošena sredstva prihoda od školarina za ak. godinu 2023/2024. Ova sredstva će se utrošiti za podmirenje rashoda redovnog poslovanja u 2024. godini.</w:t>
      </w:r>
    </w:p>
    <w:p w:rsidR="00E1555C" w:rsidRPr="007F4DE1" w:rsidRDefault="00E1555C" w:rsidP="00E1555C">
      <w:pPr>
        <w:spacing w:line="240" w:lineRule="auto"/>
        <w:jc w:val="both"/>
        <w:rPr>
          <w:rFonts w:ascii="Times New Roman" w:hAnsi="Times New Roman" w:cs="Times New Roman"/>
          <w:sz w:val="24"/>
          <w:szCs w:val="24"/>
        </w:rPr>
      </w:pPr>
      <w:r w:rsidRPr="007F4DE1">
        <w:rPr>
          <w:rFonts w:ascii="Times New Roman" w:hAnsi="Times New Roman" w:cs="Times New Roman"/>
          <w:b/>
          <w:sz w:val="24"/>
          <w:szCs w:val="24"/>
        </w:rPr>
        <w:t>Izvor 51</w:t>
      </w:r>
      <w:r w:rsidRPr="007F4DE1">
        <w:rPr>
          <w:rFonts w:ascii="Times New Roman" w:hAnsi="Times New Roman" w:cs="Times New Roman"/>
          <w:sz w:val="24"/>
          <w:szCs w:val="24"/>
        </w:rPr>
        <w:t>: Neutrošena sredstva se odnose na predujmove za EU projekte te će se trošiti prema proračunima projekata za podmirenje planiranih rashoda.</w:t>
      </w:r>
    </w:p>
    <w:p w:rsidR="00E1555C" w:rsidRPr="007F4DE1" w:rsidRDefault="00E1555C" w:rsidP="00E1555C">
      <w:pPr>
        <w:spacing w:line="240" w:lineRule="auto"/>
        <w:jc w:val="both"/>
        <w:rPr>
          <w:rFonts w:ascii="Times New Roman" w:hAnsi="Times New Roman" w:cs="Times New Roman"/>
          <w:sz w:val="24"/>
          <w:szCs w:val="24"/>
        </w:rPr>
      </w:pPr>
      <w:r w:rsidRPr="007F4DE1">
        <w:rPr>
          <w:rFonts w:ascii="Times New Roman" w:hAnsi="Times New Roman" w:cs="Times New Roman"/>
          <w:b/>
          <w:sz w:val="24"/>
          <w:szCs w:val="24"/>
        </w:rPr>
        <w:t>Izvor 52</w:t>
      </w:r>
      <w:r w:rsidRPr="007F4DE1">
        <w:rPr>
          <w:rFonts w:ascii="Times New Roman" w:hAnsi="Times New Roman" w:cs="Times New Roman"/>
          <w:sz w:val="24"/>
          <w:szCs w:val="24"/>
        </w:rPr>
        <w:t>: Neutrošena sredstva se u najvećem dijelu odnose na prihode  EU projekata gdje je MEFST partner te sredstva primljena za realizaciju HRZZ projekata. Sredstva će se trošiti prema proračunima projekata za podmirenje planiranih rashoda.</w:t>
      </w:r>
    </w:p>
    <w:p w:rsidR="00E1555C" w:rsidRPr="007F4DE1" w:rsidRDefault="00E1555C" w:rsidP="00E1555C">
      <w:pPr>
        <w:spacing w:after="0"/>
        <w:ind w:right="14"/>
        <w:jc w:val="both"/>
        <w:rPr>
          <w:rFonts w:ascii="Times New Roman" w:hAnsi="Times New Roman" w:cs="Times New Roman"/>
          <w:sz w:val="24"/>
          <w:szCs w:val="24"/>
        </w:rPr>
      </w:pPr>
      <w:r w:rsidRPr="007F4DE1">
        <w:rPr>
          <w:rFonts w:ascii="Times New Roman" w:hAnsi="Times New Roman" w:cs="Times New Roman"/>
          <w:b/>
          <w:sz w:val="24"/>
          <w:szCs w:val="24"/>
        </w:rPr>
        <w:t>Izvor 61</w:t>
      </w:r>
      <w:r w:rsidRPr="007F4DE1">
        <w:rPr>
          <w:rFonts w:ascii="Times New Roman" w:hAnsi="Times New Roman" w:cs="Times New Roman"/>
          <w:sz w:val="24"/>
          <w:szCs w:val="24"/>
        </w:rPr>
        <w:t xml:space="preserve">: Neutrošena sredstva se odnose namjenske donacije fizičkih osoba, neprofitnih organizacija, trgovačkih društava i ostalih subjekata izvan općeg proračuna (ovdje su uključena i sredstva primljena od poliklinike </w:t>
      </w:r>
      <w:proofErr w:type="spellStart"/>
      <w:r w:rsidRPr="007F4DE1">
        <w:rPr>
          <w:rFonts w:ascii="Times New Roman" w:hAnsi="Times New Roman" w:cs="Times New Roman"/>
          <w:sz w:val="24"/>
          <w:szCs w:val="24"/>
        </w:rPr>
        <w:t>Fiziodent</w:t>
      </w:r>
      <w:proofErr w:type="spellEnd"/>
      <w:r w:rsidRPr="007F4DE1">
        <w:rPr>
          <w:rFonts w:ascii="Times New Roman" w:hAnsi="Times New Roman" w:cs="Times New Roman"/>
          <w:sz w:val="24"/>
          <w:szCs w:val="24"/>
        </w:rPr>
        <w:t xml:space="preserve"> kao nositelja EU projekata (MEFST partner na projektu) ).Sredstva će se  trošiti prema proračunu projekata za podmirenje planiranih rashoda, a sredstva od donacija će se trošiti namjenski za podmirenje rashoda za koje su dobivena.</w:t>
      </w:r>
    </w:p>
    <w:p w:rsidR="00E1555C" w:rsidRPr="007F4DE1" w:rsidRDefault="00E1555C" w:rsidP="00E1555C">
      <w:pPr>
        <w:pStyle w:val="HTMLPreformatted"/>
        <w:shd w:val="clear" w:color="auto" w:fill="FFFFFF"/>
        <w:jc w:val="both"/>
        <w:rPr>
          <w:rFonts w:ascii="Times New Roman" w:eastAsiaTheme="minorHAnsi" w:hAnsi="Times New Roman" w:cs="Times New Roman"/>
          <w:b/>
          <w:sz w:val="24"/>
          <w:szCs w:val="24"/>
          <w:lang w:val="hr-HR" w:eastAsia="en-US"/>
        </w:rPr>
      </w:pPr>
    </w:p>
    <w:p w:rsidR="00E1555C" w:rsidRPr="007F4DE1" w:rsidRDefault="00E1555C" w:rsidP="007F4DE1">
      <w:pPr>
        <w:spacing w:line="240" w:lineRule="auto"/>
        <w:jc w:val="both"/>
        <w:rPr>
          <w:rFonts w:ascii="Times New Roman" w:hAnsi="Times New Roman" w:cs="Times New Roman"/>
          <w:sz w:val="24"/>
          <w:szCs w:val="24"/>
        </w:rPr>
      </w:pPr>
      <w:r w:rsidRPr="007F4DE1">
        <w:rPr>
          <w:rFonts w:ascii="Times New Roman" w:hAnsi="Times New Roman" w:cs="Times New Roman"/>
          <w:b/>
          <w:sz w:val="24"/>
          <w:szCs w:val="24"/>
        </w:rPr>
        <w:t>Izvor 12 i 561</w:t>
      </w:r>
      <w:r w:rsidRPr="007F4DE1">
        <w:rPr>
          <w:rFonts w:ascii="Times New Roman" w:hAnsi="Times New Roman" w:cs="Times New Roman"/>
          <w:sz w:val="24"/>
          <w:szCs w:val="24"/>
        </w:rPr>
        <w:t xml:space="preserve">: Neutrošena sredstva iz ESF-a temeljem EU projekta “Stručna praksa” te učešće državnog proračuna u ovom projektu. </w:t>
      </w:r>
    </w:p>
    <w:p w:rsidR="00E1555C" w:rsidRPr="007F4DE1" w:rsidRDefault="00E1555C" w:rsidP="007F4DE1">
      <w:pPr>
        <w:spacing w:line="240" w:lineRule="auto"/>
        <w:jc w:val="both"/>
        <w:rPr>
          <w:rFonts w:ascii="Times New Roman" w:hAnsi="Times New Roman" w:cs="Times New Roman"/>
          <w:sz w:val="24"/>
          <w:szCs w:val="24"/>
        </w:rPr>
      </w:pPr>
      <w:r w:rsidRPr="007F4DE1">
        <w:rPr>
          <w:rFonts w:ascii="Times New Roman" w:hAnsi="Times New Roman" w:cs="Times New Roman"/>
          <w:b/>
          <w:sz w:val="24"/>
          <w:szCs w:val="24"/>
        </w:rPr>
        <w:t>Izvor 11</w:t>
      </w:r>
      <w:r w:rsidRPr="007F4DE1">
        <w:rPr>
          <w:rFonts w:ascii="Times New Roman" w:hAnsi="Times New Roman" w:cs="Times New Roman"/>
          <w:sz w:val="24"/>
          <w:szCs w:val="24"/>
        </w:rPr>
        <w:t>: Neutrošena sredstva za programsko financiranje znanstvene djelatnosti.</w:t>
      </w:r>
    </w:p>
    <w:p w:rsidR="00E1555C" w:rsidRPr="007F4DE1" w:rsidRDefault="00E1555C" w:rsidP="00E1555C">
      <w:pPr>
        <w:spacing w:line="240" w:lineRule="auto"/>
        <w:jc w:val="both"/>
        <w:rPr>
          <w:rFonts w:ascii="Times New Roman" w:hAnsi="Times New Roman" w:cs="Times New Roman"/>
          <w:sz w:val="24"/>
          <w:szCs w:val="24"/>
        </w:rPr>
      </w:pPr>
      <w:r w:rsidRPr="007F4DE1">
        <w:rPr>
          <w:rFonts w:ascii="Times New Roman" w:hAnsi="Times New Roman" w:cs="Times New Roman"/>
          <w:sz w:val="24"/>
          <w:szCs w:val="24"/>
        </w:rPr>
        <w:t>Programska sredstva namjenskog financiranja znanosti (VIF) nisu u cijelosti potrošena iz slijedećih razloga:</w:t>
      </w:r>
    </w:p>
    <w:p w:rsidR="00E1555C" w:rsidRPr="007F4DE1" w:rsidRDefault="00E1555C" w:rsidP="00E1555C">
      <w:pPr>
        <w:spacing w:line="240" w:lineRule="auto"/>
        <w:jc w:val="both"/>
        <w:rPr>
          <w:rFonts w:ascii="Times New Roman" w:hAnsi="Times New Roman" w:cs="Times New Roman"/>
          <w:sz w:val="24"/>
          <w:szCs w:val="24"/>
        </w:rPr>
      </w:pPr>
      <w:r w:rsidRPr="007F4DE1">
        <w:rPr>
          <w:rFonts w:ascii="Times New Roman" w:hAnsi="Times New Roman" w:cs="Times New Roman"/>
          <w:sz w:val="24"/>
          <w:szCs w:val="24"/>
        </w:rPr>
        <w:t>-Radi problema sa statikom zgrade našeg fakulteta dva kata u kojima su se nalazili znanstveni laboratoriji su morala biti iseljena te je znanstveni rad te potrošnja sredstava za znanost i iz navedenog razloga bila smanjena.</w:t>
      </w:r>
    </w:p>
    <w:p w:rsidR="00E1555C" w:rsidRPr="007F4DE1" w:rsidRDefault="00E1555C" w:rsidP="00E1555C">
      <w:pPr>
        <w:spacing w:line="240" w:lineRule="auto"/>
        <w:jc w:val="both"/>
        <w:rPr>
          <w:rFonts w:ascii="Times New Roman" w:hAnsi="Times New Roman" w:cs="Times New Roman"/>
          <w:sz w:val="24"/>
          <w:szCs w:val="24"/>
        </w:rPr>
      </w:pPr>
      <w:r w:rsidRPr="007F4DE1">
        <w:rPr>
          <w:rFonts w:ascii="Times New Roman" w:hAnsi="Times New Roman" w:cs="Times New Roman"/>
          <w:sz w:val="24"/>
          <w:szCs w:val="24"/>
        </w:rPr>
        <w:t xml:space="preserve">-Sredstva VIF-a za tekuću godinu uvijek stižu u drugom dijelu godine, a nekada i u zadnjem kvartalu, pa ne mogu biti potrošena do kraja godine. </w:t>
      </w:r>
    </w:p>
    <w:p w:rsidR="00E1555C" w:rsidRPr="007F4DE1" w:rsidRDefault="00E1555C" w:rsidP="007F4DE1">
      <w:pPr>
        <w:spacing w:line="240" w:lineRule="auto"/>
        <w:jc w:val="both"/>
        <w:rPr>
          <w:rFonts w:ascii="Times New Roman" w:hAnsi="Times New Roman" w:cs="Times New Roman"/>
          <w:sz w:val="24"/>
          <w:szCs w:val="24"/>
        </w:rPr>
      </w:pPr>
      <w:r w:rsidRPr="007F4DE1">
        <w:rPr>
          <w:rFonts w:ascii="Times New Roman" w:hAnsi="Times New Roman" w:cs="Times New Roman"/>
          <w:sz w:val="24"/>
          <w:szCs w:val="24"/>
        </w:rPr>
        <w:t xml:space="preserve">Navedena sredstva iz odnosa će se namjenski trošiti u slijedećem razdoblju. </w:t>
      </w:r>
    </w:p>
    <w:p w:rsidR="006F3737" w:rsidRDefault="006F3737" w:rsidP="0065546E">
      <w:pPr>
        <w:spacing w:line="240" w:lineRule="auto"/>
        <w:jc w:val="both"/>
        <w:rPr>
          <w:rFonts w:ascii="Times New Roman" w:hAnsi="Times New Roman" w:cs="Times New Roman"/>
          <w:b/>
          <w:sz w:val="24"/>
          <w:szCs w:val="24"/>
        </w:rPr>
      </w:pPr>
    </w:p>
    <w:p w:rsidR="006F3737" w:rsidRDefault="006F3737" w:rsidP="0065546E">
      <w:pPr>
        <w:spacing w:line="240" w:lineRule="auto"/>
        <w:jc w:val="both"/>
        <w:rPr>
          <w:rFonts w:ascii="Times New Roman" w:hAnsi="Times New Roman" w:cs="Times New Roman"/>
          <w:b/>
          <w:sz w:val="24"/>
          <w:szCs w:val="24"/>
        </w:rPr>
      </w:pPr>
    </w:p>
    <w:p w:rsidR="006F3737" w:rsidRDefault="006F3737" w:rsidP="0065546E">
      <w:pPr>
        <w:spacing w:line="240" w:lineRule="auto"/>
        <w:jc w:val="both"/>
        <w:rPr>
          <w:rFonts w:ascii="Times New Roman" w:hAnsi="Times New Roman" w:cs="Times New Roman"/>
          <w:b/>
          <w:sz w:val="24"/>
          <w:szCs w:val="24"/>
        </w:rPr>
      </w:pPr>
    </w:p>
    <w:p w:rsidR="0065546E" w:rsidRPr="00E94CE8" w:rsidRDefault="0065546E" w:rsidP="0065546E">
      <w:pPr>
        <w:spacing w:line="240" w:lineRule="auto"/>
        <w:jc w:val="both"/>
        <w:rPr>
          <w:rFonts w:ascii="Times New Roman" w:hAnsi="Times New Roman" w:cs="Times New Roman"/>
          <w:b/>
          <w:sz w:val="24"/>
          <w:szCs w:val="24"/>
        </w:rPr>
      </w:pPr>
      <w:r w:rsidRPr="00E94CE8">
        <w:rPr>
          <w:rFonts w:ascii="Times New Roman" w:hAnsi="Times New Roman" w:cs="Times New Roman"/>
          <w:b/>
          <w:sz w:val="24"/>
          <w:szCs w:val="24"/>
        </w:rPr>
        <w:lastRenderedPageBreak/>
        <w:t>UKUPNE I DOSPJELE OBVEZE</w:t>
      </w:r>
    </w:p>
    <w:tbl>
      <w:tblPr>
        <w:tblStyle w:val="TableGrid"/>
        <w:tblW w:w="0" w:type="auto"/>
        <w:tblLook w:val="04A0" w:firstRow="1" w:lastRow="0" w:firstColumn="1" w:lastColumn="0" w:noHBand="0" w:noVBand="1"/>
      </w:tblPr>
      <w:tblGrid>
        <w:gridCol w:w="1838"/>
        <w:gridCol w:w="3544"/>
        <w:gridCol w:w="3680"/>
      </w:tblGrid>
      <w:tr w:rsidR="0065546E" w:rsidRPr="00E94CE8" w:rsidTr="00362A71">
        <w:tc>
          <w:tcPr>
            <w:tcW w:w="1838" w:type="dxa"/>
          </w:tcPr>
          <w:p w:rsidR="0065546E" w:rsidRPr="00E94CE8" w:rsidRDefault="0065546E" w:rsidP="00041023">
            <w:pPr>
              <w:jc w:val="center"/>
              <w:rPr>
                <w:rFonts w:ascii="Times New Roman" w:hAnsi="Times New Roman" w:cs="Times New Roman"/>
                <w:sz w:val="24"/>
                <w:szCs w:val="24"/>
              </w:rPr>
            </w:pPr>
          </w:p>
        </w:tc>
        <w:tc>
          <w:tcPr>
            <w:tcW w:w="3544" w:type="dxa"/>
          </w:tcPr>
          <w:p w:rsidR="0065546E" w:rsidRPr="00E94CE8" w:rsidRDefault="0065546E" w:rsidP="00041023">
            <w:pPr>
              <w:jc w:val="center"/>
              <w:rPr>
                <w:rFonts w:ascii="Times New Roman" w:hAnsi="Times New Roman" w:cs="Times New Roman"/>
                <w:sz w:val="24"/>
                <w:szCs w:val="24"/>
              </w:rPr>
            </w:pPr>
            <w:r w:rsidRPr="00E94CE8">
              <w:rPr>
                <w:rFonts w:ascii="Times New Roman" w:hAnsi="Times New Roman" w:cs="Times New Roman"/>
                <w:sz w:val="24"/>
                <w:szCs w:val="24"/>
              </w:rPr>
              <w:t>Stanje obveza na dan 31.12.2022.</w:t>
            </w:r>
          </w:p>
        </w:tc>
        <w:tc>
          <w:tcPr>
            <w:tcW w:w="3680" w:type="dxa"/>
          </w:tcPr>
          <w:p w:rsidR="0065546E" w:rsidRPr="000B155F" w:rsidRDefault="0065546E" w:rsidP="00041023">
            <w:pPr>
              <w:jc w:val="center"/>
              <w:rPr>
                <w:rFonts w:ascii="Times New Roman" w:hAnsi="Times New Roman" w:cs="Times New Roman"/>
                <w:sz w:val="24"/>
                <w:szCs w:val="24"/>
              </w:rPr>
            </w:pPr>
            <w:r w:rsidRPr="000B155F">
              <w:rPr>
                <w:rFonts w:ascii="Times New Roman" w:hAnsi="Times New Roman" w:cs="Times New Roman"/>
                <w:sz w:val="24"/>
                <w:szCs w:val="24"/>
              </w:rPr>
              <w:t xml:space="preserve">Stanje obveza na dan </w:t>
            </w:r>
            <w:r w:rsidR="00D659DD" w:rsidRPr="000B155F">
              <w:rPr>
                <w:rFonts w:ascii="Times New Roman" w:hAnsi="Times New Roman" w:cs="Times New Roman"/>
                <w:sz w:val="24"/>
                <w:szCs w:val="24"/>
              </w:rPr>
              <w:t>31.12.</w:t>
            </w:r>
            <w:r w:rsidRPr="000B155F">
              <w:rPr>
                <w:rFonts w:ascii="Times New Roman" w:hAnsi="Times New Roman" w:cs="Times New Roman"/>
                <w:sz w:val="24"/>
                <w:szCs w:val="24"/>
              </w:rPr>
              <w:t>2023.</w:t>
            </w:r>
          </w:p>
        </w:tc>
      </w:tr>
      <w:tr w:rsidR="0065546E" w:rsidRPr="00E94CE8" w:rsidTr="00362A71">
        <w:tc>
          <w:tcPr>
            <w:tcW w:w="1838" w:type="dxa"/>
          </w:tcPr>
          <w:p w:rsidR="0065546E" w:rsidRPr="00E94CE8" w:rsidRDefault="0065546E" w:rsidP="00041023">
            <w:pPr>
              <w:jc w:val="both"/>
              <w:rPr>
                <w:rFonts w:ascii="Times New Roman" w:hAnsi="Times New Roman" w:cs="Times New Roman"/>
                <w:sz w:val="24"/>
                <w:szCs w:val="24"/>
              </w:rPr>
            </w:pPr>
            <w:r w:rsidRPr="00E94CE8">
              <w:rPr>
                <w:rFonts w:ascii="Times New Roman" w:hAnsi="Times New Roman" w:cs="Times New Roman"/>
                <w:sz w:val="24"/>
                <w:szCs w:val="24"/>
              </w:rPr>
              <w:t>Ukupne obveze</w:t>
            </w:r>
          </w:p>
        </w:tc>
        <w:tc>
          <w:tcPr>
            <w:tcW w:w="3544" w:type="dxa"/>
          </w:tcPr>
          <w:p w:rsidR="0065546E" w:rsidRPr="00E94CE8" w:rsidRDefault="0065546E" w:rsidP="00041023">
            <w:pPr>
              <w:jc w:val="both"/>
              <w:rPr>
                <w:rFonts w:ascii="Times New Roman" w:hAnsi="Times New Roman" w:cs="Times New Roman"/>
                <w:sz w:val="24"/>
                <w:szCs w:val="24"/>
              </w:rPr>
            </w:pPr>
            <w:r w:rsidRPr="00E94CE8">
              <w:rPr>
                <w:rFonts w:ascii="Times New Roman" w:hAnsi="Times New Roman" w:cs="Times New Roman"/>
                <w:sz w:val="24"/>
                <w:szCs w:val="24"/>
              </w:rPr>
              <w:t xml:space="preserve">16.420.299,70 kn </w:t>
            </w:r>
          </w:p>
          <w:p w:rsidR="0065546E" w:rsidRPr="00E94CE8" w:rsidRDefault="0065546E" w:rsidP="00041023">
            <w:pPr>
              <w:jc w:val="both"/>
              <w:rPr>
                <w:rFonts w:ascii="Times New Roman" w:hAnsi="Times New Roman" w:cs="Times New Roman"/>
                <w:sz w:val="24"/>
                <w:szCs w:val="24"/>
              </w:rPr>
            </w:pPr>
            <w:r w:rsidRPr="00E94CE8">
              <w:rPr>
                <w:rFonts w:ascii="Times New Roman" w:hAnsi="Times New Roman" w:cs="Times New Roman"/>
                <w:sz w:val="24"/>
                <w:szCs w:val="24"/>
              </w:rPr>
              <w:t>(2.179.348,29 EUR)</w:t>
            </w:r>
          </w:p>
        </w:tc>
        <w:tc>
          <w:tcPr>
            <w:tcW w:w="3680" w:type="dxa"/>
          </w:tcPr>
          <w:p w:rsidR="0065546E" w:rsidRPr="00A81565" w:rsidRDefault="0065546E" w:rsidP="00041023">
            <w:pPr>
              <w:jc w:val="both"/>
              <w:rPr>
                <w:rFonts w:ascii="Times New Roman" w:hAnsi="Times New Roman" w:cs="Times New Roman"/>
                <w:sz w:val="24"/>
                <w:szCs w:val="24"/>
                <w:highlight w:val="yellow"/>
              </w:rPr>
            </w:pPr>
            <w:r w:rsidRPr="000B155F">
              <w:rPr>
                <w:rFonts w:ascii="Times New Roman" w:hAnsi="Times New Roman" w:cs="Times New Roman"/>
                <w:sz w:val="24"/>
                <w:szCs w:val="24"/>
              </w:rPr>
              <w:t xml:space="preserve">                                                2</w:t>
            </w:r>
            <w:r w:rsidR="000B155F" w:rsidRPr="000B155F">
              <w:rPr>
                <w:rFonts w:ascii="Times New Roman" w:hAnsi="Times New Roman" w:cs="Times New Roman"/>
                <w:sz w:val="24"/>
                <w:szCs w:val="24"/>
              </w:rPr>
              <w:t>.096.474,96 EUR</w:t>
            </w:r>
          </w:p>
        </w:tc>
      </w:tr>
      <w:tr w:rsidR="0065546E" w:rsidRPr="00E94CE8" w:rsidTr="00362A71">
        <w:tc>
          <w:tcPr>
            <w:tcW w:w="1838" w:type="dxa"/>
          </w:tcPr>
          <w:p w:rsidR="0065546E" w:rsidRPr="000B155F" w:rsidRDefault="0065546E" w:rsidP="00041023">
            <w:pPr>
              <w:jc w:val="both"/>
              <w:rPr>
                <w:rFonts w:ascii="Times New Roman" w:hAnsi="Times New Roman" w:cs="Times New Roman"/>
                <w:sz w:val="24"/>
                <w:szCs w:val="24"/>
              </w:rPr>
            </w:pPr>
            <w:r w:rsidRPr="000B155F">
              <w:rPr>
                <w:rFonts w:ascii="Times New Roman" w:hAnsi="Times New Roman" w:cs="Times New Roman"/>
                <w:sz w:val="24"/>
                <w:szCs w:val="24"/>
              </w:rPr>
              <w:t>Dospjele obveze</w:t>
            </w:r>
          </w:p>
        </w:tc>
        <w:tc>
          <w:tcPr>
            <w:tcW w:w="3544" w:type="dxa"/>
          </w:tcPr>
          <w:p w:rsidR="0065546E" w:rsidRPr="000B155F" w:rsidRDefault="0065546E" w:rsidP="00041023">
            <w:pPr>
              <w:jc w:val="both"/>
              <w:rPr>
                <w:rFonts w:ascii="Times New Roman" w:hAnsi="Times New Roman" w:cs="Times New Roman"/>
                <w:sz w:val="24"/>
                <w:szCs w:val="24"/>
              </w:rPr>
            </w:pPr>
            <w:r w:rsidRPr="000B155F">
              <w:rPr>
                <w:rFonts w:ascii="Times New Roman" w:hAnsi="Times New Roman" w:cs="Times New Roman"/>
                <w:sz w:val="24"/>
                <w:szCs w:val="24"/>
              </w:rPr>
              <w:t xml:space="preserve"> 5.233.858,18  kn    </w:t>
            </w:r>
          </w:p>
          <w:p w:rsidR="0065546E" w:rsidRPr="000B155F" w:rsidRDefault="0065546E" w:rsidP="00041023">
            <w:pPr>
              <w:jc w:val="both"/>
              <w:rPr>
                <w:rFonts w:ascii="Times New Roman" w:hAnsi="Times New Roman" w:cs="Times New Roman"/>
                <w:sz w:val="24"/>
                <w:szCs w:val="24"/>
              </w:rPr>
            </w:pPr>
            <w:r w:rsidRPr="000B155F">
              <w:rPr>
                <w:rFonts w:ascii="Times New Roman" w:hAnsi="Times New Roman" w:cs="Times New Roman"/>
                <w:sz w:val="24"/>
                <w:szCs w:val="24"/>
              </w:rPr>
              <w:t xml:space="preserve"> (694.652,36 EUR)</w:t>
            </w:r>
          </w:p>
        </w:tc>
        <w:tc>
          <w:tcPr>
            <w:tcW w:w="3680" w:type="dxa"/>
          </w:tcPr>
          <w:p w:rsidR="0065546E" w:rsidRPr="000B155F" w:rsidRDefault="0065546E" w:rsidP="00041023">
            <w:pPr>
              <w:jc w:val="both"/>
              <w:rPr>
                <w:rFonts w:ascii="Times New Roman" w:hAnsi="Times New Roman" w:cs="Times New Roman"/>
                <w:sz w:val="24"/>
                <w:szCs w:val="24"/>
              </w:rPr>
            </w:pPr>
            <w:r w:rsidRPr="000B155F">
              <w:rPr>
                <w:rFonts w:ascii="Times New Roman" w:hAnsi="Times New Roman" w:cs="Times New Roman"/>
                <w:sz w:val="24"/>
                <w:szCs w:val="24"/>
              </w:rPr>
              <w:t xml:space="preserve">                                                     </w:t>
            </w:r>
            <w:r w:rsidR="000B155F" w:rsidRPr="000B155F">
              <w:rPr>
                <w:rFonts w:ascii="Times New Roman" w:hAnsi="Times New Roman" w:cs="Times New Roman"/>
                <w:sz w:val="24"/>
                <w:szCs w:val="24"/>
              </w:rPr>
              <w:t>869.964,19 EUR</w:t>
            </w:r>
          </w:p>
        </w:tc>
      </w:tr>
    </w:tbl>
    <w:p w:rsidR="007F4DE1" w:rsidRDefault="007F4DE1" w:rsidP="0065546E">
      <w:pPr>
        <w:pStyle w:val="BodyText"/>
        <w:tabs>
          <w:tab w:val="left" w:pos="142"/>
          <w:tab w:val="left" w:pos="426"/>
        </w:tabs>
        <w:jc w:val="both"/>
        <w:rPr>
          <w:b/>
          <w:szCs w:val="24"/>
        </w:rPr>
      </w:pPr>
    </w:p>
    <w:p w:rsidR="0065546E" w:rsidRPr="00E94CE8" w:rsidRDefault="0065546E" w:rsidP="0065546E">
      <w:pPr>
        <w:pStyle w:val="BodyText"/>
        <w:tabs>
          <w:tab w:val="left" w:pos="142"/>
          <w:tab w:val="left" w:pos="426"/>
        </w:tabs>
        <w:jc w:val="both"/>
        <w:rPr>
          <w:szCs w:val="24"/>
        </w:rPr>
      </w:pPr>
      <w:proofErr w:type="spellStart"/>
      <w:r w:rsidRPr="00E94CE8">
        <w:rPr>
          <w:b/>
          <w:szCs w:val="24"/>
        </w:rPr>
        <w:t>Dospjele</w:t>
      </w:r>
      <w:proofErr w:type="spellEnd"/>
      <w:r w:rsidRPr="00E94CE8">
        <w:rPr>
          <w:b/>
          <w:szCs w:val="24"/>
        </w:rPr>
        <w:t xml:space="preserve"> </w:t>
      </w:r>
      <w:proofErr w:type="spellStart"/>
      <w:r w:rsidRPr="00E94CE8">
        <w:rPr>
          <w:b/>
          <w:szCs w:val="24"/>
        </w:rPr>
        <w:t>obveze</w:t>
      </w:r>
      <w:proofErr w:type="spellEnd"/>
      <w:r w:rsidRPr="00E94CE8">
        <w:rPr>
          <w:b/>
          <w:szCs w:val="24"/>
        </w:rPr>
        <w:t xml:space="preserve"> 31.12.2022</w:t>
      </w:r>
      <w:r w:rsidRPr="00E94CE8">
        <w:rPr>
          <w:szCs w:val="24"/>
        </w:rPr>
        <w:t>.</w:t>
      </w:r>
    </w:p>
    <w:p w:rsidR="0065546E" w:rsidRPr="00E94CE8" w:rsidRDefault="0065546E" w:rsidP="0065546E">
      <w:pPr>
        <w:pStyle w:val="BodyText"/>
        <w:tabs>
          <w:tab w:val="left" w:pos="142"/>
          <w:tab w:val="left" w:pos="426"/>
        </w:tabs>
        <w:jc w:val="both"/>
        <w:rPr>
          <w:szCs w:val="24"/>
        </w:rPr>
      </w:pPr>
    </w:p>
    <w:p w:rsidR="0065546E" w:rsidRPr="00E94CE8" w:rsidRDefault="0065546E" w:rsidP="0065546E">
      <w:pPr>
        <w:pStyle w:val="BodyText"/>
        <w:tabs>
          <w:tab w:val="left" w:pos="142"/>
          <w:tab w:val="left" w:pos="426"/>
        </w:tabs>
        <w:jc w:val="both"/>
        <w:rPr>
          <w:szCs w:val="24"/>
        </w:rPr>
      </w:pPr>
      <w:proofErr w:type="spellStart"/>
      <w:r w:rsidRPr="00E94CE8">
        <w:rPr>
          <w:szCs w:val="24"/>
        </w:rPr>
        <w:t>Stanje</w:t>
      </w:r>
      <w:proofErr w:type="spellEnd"/>
      <w:r w:rsidRPr="00E94CE8">
        <w:rPr>
          <w:szCs w:val="24"/>
        </w:rPr>
        <w:t xml:space="preserve"> </w:t>
      </w:r>
      <w:proofErr w:type="spellStart"/>
      <w:r w:rsidRPr="00E94CE8">
        <w:rPr>
          <w:szCs w:val="24"/>
        </w:rPr>
        <w:t>dospjelih</w:t>
      </w:r>
      <w:proofErr w:type="spellEnd"/>
      <w:r w:rsidRPr="00E94CE8">
        <w:rPr>
          <w:szCs w:val="24"/>
        </w:rPr>
        <w:t xml:space="preserve"> </w:t>
      </w:r>
      <w:proofErr w:type="spellStart"/>
      <w:r w:rsidRPr="00E94CE8">
        <w:rPr>
          <w:szCs w:val="24"/>
        </w:rPr>
        <w:t>obveza</w:t>
      </w:r>
      <w:proofErr w:type="spellEnd"/>
      <w:r w:rsidRPr="00E94CE8">
        <w:rPr>
          <w:szCs w:val="24"/>
        </w:rPr>
        <w:t xml:space="preserve"> </w:t>
      </w:r>
      <w:proofErr w:type="spellStart"/>
      <w:r w:rsidRPr="00E94CE8">
        <w:rPr>
          <w:szCs w:val="24"/>
        </w:rPr>
        <w:t>na</w:t>
      </w:r>
      <w:proofErr w:type="spellEnd"/>
      <w:r w:rsidRPr="00E94CE8">
        <w:rPr>
          <w:szCs w:val="24"/>
        </w:rPr>
        <w:t xml:space="preserve"> </w:t>
      </w:r>
      <w:proofErr w:type="spellStart"/>
      <w:r w:rsidRPr="00E94CE8">
        <w:rPr>
          <w:szCs w:val="24"/>
        </w:rPr>
        <w:t>kraju</w:t>
      </w:r>
      <w:proofErr w:type="spellEnd"/>
      <w:r w:rsidRPr="00E94CE8">
        <w:rPr>
          <w:szCs w:val="24"/>
        </w:rPr>
        <w:t xml:space="preserve"> </w:t>
      </w:r>
      <w:proofErr w:type="spellStart"/>
      <w:r w:rsidRPr="00E94CE8">
        <w:rPr>
          <w:szCs w:val="24"/>
        </w:rPr>
        <w:t>izvještajnog</w:t>
      </w:r>
      <w:proofErr w:type="spellEnd"/>
      <w:r w:rsidRPr="00E94CE8">
        <w:rPr>
          <w:szCs w:val="24"/>
        </w:rPr>
        <w:t xml:space="preserve"> </w:t>
      </w:r>
      <w:proofErr w:type="spellStart"/>
      <w:r w:rsidRPr="00E94CE8">
        <w:rPr>
          <w:szCs w:val="24"/>
        </w:rPr>
        <w:t>razdoblja</w:t>
      </w:r>
      <w:proofErr w:type="spellEnd"/>
      <w:r w:rsidRPr="00E94CE8">
        <w:rPr>
          <w:szCs w:val="24"/>
        </w:rPr>
        <w:t xml:space="preserve"> u </w:t>
      </w:r>
      <w:proofErr w:type="spellStart"/>
      <w:r w:rsidRPr="00E94CE8">
        <w:rPr>
          <w:szCs w:val="24"/>
        </w:rPr>
        <w:t>visini</w:t>
      </w:r>
      <w:proofErr w:type="spellEnd"/>
      <w:r w:rsidRPr="00E94CE8">
        <w:rPr>
          <w:szCs w:val="24"/>
        </w:rPr>
        <w:t xml:space="preserve"> 5.233.858,18 </w:t>
      </w:r>
      <w:proofErr w:type="spellStart"/>
      <w:r w:rsidRPr="00E94CE8">
        <w:rPr>
          <w:szCs w:val="24"/>
        </w:rPr>
        <w:t>kn</w:t>
      </w:r>
      <w:proofErr w:type="spellEnd"/>
      <w:r w:rsidR="001813C2">
        <w:rPr>
          <w:szCs w:val="24"/>
        </w:rPr>
        <w:t xml:space="preserve"> (694.652,36 EUR)</w:t>
      </w:r>
      <w:r w:rsidRPr="00E94CE8">
        <w:rPr>
          <w:szCs w:val="24"/>
        </w:rPr>
        <w:t xml:space="preserve"> se u </w:t>
      </w:r>
      <w:proofErr w:type="spellStart"/>
      <w:r w:rsidRPr="00E94CE8">
        <w:rPr>
          <w:szCs w:val="24"/>
        </w:rPr>
        <w:t>najvećoj</w:t>
      </w:r>
      <w:proofErr w:type="spellEnd"/>
      <w:r w:rsidRPr="00E94CE8">
        <w:rPr>
          <w:szCs w:val="24"/>
        </w:rPr>
        <w:t xml:space="preserve"> </w:t>
      </w:r>
      <w:proofErr w:type="spellStart"/>
      <w:r w:rsidRPr="00E94CE8">
        <w:rPr>
          <w:szCs w:val="24"/>
        </w:rPr>
        <w:t>mjeri</w:t>
      </w:r>
      <w:proofErr w:type="spellEnd"/>
      <w:r w:rsidRPr="00E94CE8">
        <w:rPr>
          <w:szCs w:val="24"/>
        </w:rPr>
        <w:t xml:space="preserve"> </w:t>
      </w:r>
      <w:proofErr w:type="spellStart"/>
      <w:r w:rsidRPr="00E94CE8">
        <w:rPr>
          <w:szCs w:val="24"/>
        </w:rPr>
        <w:t>odnosi</w:t>
      </w:r>
      <w:proofErr w:type="spellEnd"/>
      <w:r w:rsidRPr="00E94CE8">
        <w:rPr>
          <w:szCs w:val="24"/>
        </w:rPr>
        <w:t xml:space="preserve"> </w:t>
      </w:r>
      <w:proofErr w:type="spellStart"/>
      <w:r w:rsidRPr="00E94CE8">
        <w:rPr>
          <w:szCs w:val="24"/>
        </w:rPr>
        <w:t>na</w:t>
      </w:r>
      <w:proofErr w:type="spellEnd"/>
      <w:r w:rsidRPr="00E94CE8">
        <w:rPr>
          <w:szCs w:val="24"/>
        </w:rPr>
        <w:t xml:space="preserve"> </w:t>
      </w:r>
      <w:proofErr w:type="spellStart"/>
      <w:r w:rsidRPr="00E94CE8">
        <w:rPr>
          <w:szCs w:val="24"/>
        </w:rPr>
        <w:t>obveze</w:t>
      </w:r>
      <w:proofErr w:type="spellEnd"/>
      <w:r w:rsidRPr="00E94CE8">
        <w:rPr>
          <w:szCs w:val="24"/>
        </w:rPr>
        <w:t xml:space="preserve"> </w:t>
      </w:r>
      <w:proofErr w:type="spellStart"/>
      <w:r w:rsidRPr="00E94CE8">
        <w:rPr>
          <w:szCs w:val="24"/>
        </w:rPr>
        <w:t>prema</w:t>
      </w:r>
      <w:proofErr w:type="spellEnd"/>
      <w:r w:rsidRPr="00E94CE8">
        <w:rPr>
          <w:szCs w:val="24"/>
        </w:rPr>
        <w:t xml:space="preserve"> </w:t>
      </w:r>
      <w:proofErr w:type="spellStart"/>
      <w:r w:rsidRPr="00E94CE8">
        <w:rPr>
          <w:szCs w:val="24"/>
        </w:rPr>
        <w:t>proračunskim</w:t>
      </w:r>
      <w:proofErr w:type="spellEnd"/>
      <w:r w:rsidRPr="00E94CE8">
        <w:rPr>
          <w:szCs w:val="24"/>
        </w:rPr>
        <w:t xml:space="preserve"> </w:t>
      </w:r>
      <w:proofErr w:type="spellStart"/>
      <w:r w:rsidRPr="00E94CE8">
        <w:rPr>
          <w:szCs w:val="24"/>
        </w:rPr>
        <w:t>korisnicima</w:t>
      </w:r>
      <w:proofErr w:type="spellEnd"/>
      <w:r w:rsidRPr="00E94CE8">
        <w:rPr>
          <w:szCs w:val="24"/>
        </w:rPr>
        <w:t xml:space="preserve"> u </w:t>
      </w:r>
      <w:proofErr w:type="spellStart"/>
      <w:r w:rsidRPr="00E94CE8">
        <w:rPr>
          <w:szCs w:val="24"/>
        </w:rPr>
        <w:t>iznosu</w:t>
      </w:r>
      <w:proofErr w:type="spellEnd"/>
      <w:r w:rsidRPr="00E94CE8">
        <w:rPr>
          <w:szCs w:val="24"/>
        </w:rPr>
        <w:t xml:space="preserve"> od 4.965.116,75 </w:t>
      </w:r>
      <w:proofErr w:type="spellStart"/>
      <w:r w:rsidRPr="00E94CE8">
        <w:rPr>
          <w:szCs w:val="24"/>
        </w:rPr>
        <w:t>kn</w:t>
      </w:r>
      <w:proofErr w:type="spellEnd"/>
      <w:r w:rsidRPr="00E94CE8">
        <w:rPr>
          <w:szCs w:val="24"/>
        </w:rPr>
        <w:t xml:space="preserve"> </w:t>
      </w:r>
      <w:r w:rsidR="001813C2">
        <w:rPr>
          <w:szCs w:val="24"/>
        </w:rPr>
        <w:t xml:space="preserve">(658.984,24 EUR) </w:t>
      </w:r>
      <w:proofErr w:type="spellStart"/>
      <w:r w:rsidRPr="00E94CE8">
        <w:rPr>
          <w:szCs w:val="24"/>
        </w:rPr>
        <w:t>dok</w:t>
      </w:r>
      <w:proofErr w:type="spellEnd"/>
      <w:r w:rsidRPr="00E94CE8">
        <w:rPr>
          <w:szCs w:val="24"/>
        </w:rPr>
        <w:t xml:space="preserve"> se </w:t>
      </w:r>
      <w:proofErr w:type="spellStart"/>
      <w:r w:rsidRPr="00E94CE8">
        <w:rPr>
          <w:szCs w:val="24"/>
        </w:rPr>
        <w:t>ostatak</w:t>
      </w:r>
      <w:proofErr w:type="spellEnd"/>
      <w:r w:rsidRPr="00E94CE8">
        <w:rPr>
          <w:szCs w:val="24"/>
        </w:rPr>
        <w:t xml:space="preserve"> u </w:t>
      </w:r>
      <w:proofErr w:type="spellStart"/>
      <w:r w:rsidRPr="00E94CE8">
        <w:rPr>
          <w:szCs w:val="24"/>
        </w:rPr>
        <w:t>visini</w:t>
      </w:r>
      <w:proofErr w:type="spellEnd"/>
      <w:r w:rsidRPr="00E94CE8">
        <w:rPr>
          <w:szCs w:val="24"/>
        </w:rPr>
        <w:t xml:space="preserve"> 268.741,43</w:t>
      </w:r>
      <w:r w:rsidR="001813C2">
        <w:rPr>
          <w:szCs w:val="24"/>
        </w:rPr>
        <w:t xml:space="preserve"> </w:t>
      </w:r>
      <w:proofErr w:type="spellStart"/>
      <w:r w:rsidR="001813C2">
        <w:rPr>
          <w:szCs w:val="24"/>
        </w:rPr>
        <w:t>kn</w:t>
      </w:r>
      <w:proofErr w:type="spellEnd"/>
      <w:r w:rsidRPr="00E94CE8">
        <w:rPr>
          <w:szCs w:val="24"/>
        </w:rPr>
        <w:t xml:space="preserve"> </w:t>
      </w:r>
      <w:r w:rsidR="001813C2">
        <w:rPr>
          <w:szCs w:val="24"/>
        </w:rPr>
        <w:t xml:space="preserve">(35.668,12 EUR) </w:t>
      </w:r>
      <w:proofErr w:type="spellStart"/>
      <w:r w:rsidRPr="00E94CE8">
        <w:rPr>
          <w:szCs w:val="24"/>
        </w:rPr>
        <w:t>odnosi</w:t>
      </w:r>
      <w:proofErr w:type="spellEnd"/>
      <w:r w:rsidRPr="00E94CE8">
        <w:rPr>
          <w:szCs w:val="24"/>
        </w:rPr>
        <w:t xml:space="preserve"> </w:t>
      </w:r>
      <w:proofErr w:type="spellStart"/>
      <w:r w:rsidRPr="00E94CE8">
        <w:rPr>
          <w:szCs w:val="24"/>
        </w:rPr>
        <w:t>na</w:t>
      </w:r>
      <w:proofErr w:type="spellEnd"/>
      <w:r w:rsidRPr="00E94CE8">
        <w:rPr>
          <w:szCs w:val="24"/>
        </w:rPr>
        <w:t xml:space="preserve"> </w:t>
      </w:r>
      <w:proofErr w:type="spellStart"/>
      <w:r w:rsidRPr="00E94CE8">
        <w:rPr>
          <w:szCs w:val="24"/>
        </w:rPr>
        <w:t>tekuće</w:t>
      </w:r>
      <w:proofErr w:type="spellEnd"/>
      <w:r w:rsidRPr="00E94CE8">
        <w:rPr>
          <w:szCs w:val="24"/>
        </w:rPr>
        <w:t xml:space="preserve"> </w:t>
      </w:r>
      <w:proofErr w:type="spellStart"/>
      <w:r w:rsidRPr="00E94CE8">
        <w:rPr>
          <w:szCs w:val="24"/>
        </w:rPr>
        <w:t>obveze</w:t>
      </w:r>
      <w:proofErr w:type="spellEnd"/>
      <w:r w:rsidRPr="00E94CE8">
        <w:rPr>
          <w:szCs w:val="24"/>
        </w:rPr>
        <w:t xml:space="preserve"> za </w:t>
      </w:r>
      <w:proofErr w:type="spellStart"/>
      <w:r w:rsidRPr="00E94CE8">
        <w:rPr>
          <w:szCs w:val="24"/>
        </w:rPr>
        <w:t>materijalne</w:t>
      </w:r>
      <w:proofErr w:type="spellEnd"/>
      <w:r w:rsidRPr="00E94CE8">
        <w:rPr>
          <w:szCs w:val="24"/>
        </w:rPr>
        <w:t xml:space="preserve"> </w:t>
      </w:r>
      <w:proofErr w:type="spellStart"/>
      <w:r w:rsidRPr="00E94CE8">
        <w:rPr>
          <w:szCs w:val="24"/>
        </w:rPr>
        <w:t>rashode</w:t>
      </w:r>
      <w:proofErr w:type="spellEnd"/>
      <w:r w:rsidRPr="00E94CE8">
        <w:rPr>
          <w:szCs w:val="24"/>
        </w:rPr>
        <w:t xml:space="preserve"> </w:t>
      </w:r>
      <w:proofErr w:type="spellStart"/>
      <w:r w:rsidRPr="00E94CE8">
        <w:rPr>
          <w:szCs w:val="24"/>
        </w:rPr>
        <w:t>i</w:t>
      </w:r>
      <w:proofErr w:type="spellEnd"/>
      <w:r w:rsidRPr="00E94CE8">
        <w:rPr>
          <w:szCs w:val="24"/>
        </w:rPr>
        <w:t xml:space="preserve"> </w:t>
      </w:r>
      <w:proofErr w:type="spellStart"/>
      <w:r w:rsidRPr="00E94CE8">
        <w:rPr>
          <w:szCs w:val="24"/>
        </w:rPr>
        <w:t>nabavu</w:t>
      </w:r>
      <w:proofErr w:type="spellEnd"/>
      <w:r w:rsidRPr="00E94CE8">
        <w:rPr>
          <w:szCs w:val="24"/>
        </w:rPr>
        <w:t xml:space="preserve"> </w:t>
      </w:r>
      <w:proofErr w:type="spellStart"/>
      <w:r w:rsidRPr="00E94CE8">
        <w:rPr>
          <w:szCs w:val="24"/>
        </w:rPr>
        <w:t>nefinancijske</w:t>
      </w:r>
      <w:proofErr w:type="spellEnd"/>
      <w:r w:rsidRPr="00E94CE8">
        <w:rPr>
          <w:szCs w:val="24"/>
        </w:rPr>
        <w:t xml:space="preserve"> </w:t>
      </w:r>
      <w:proofErr w:type="spellStart"/>
      <w:r w:rsidRPr="00E94CE8">
        <w:rPr>
          <w:szCs w:val="24"/>
        </w:rPr>
        <w:t>imovine</w:t>
      </w:r>
      <w:proofErr w:type="spellEnd"/>
      <w:r w:rsidRPr="00E94CE8">
        <w:rPr>
          <w:szCs w:val="24"/>
        </w:rPr>
        <w:t xml:space="preserve"> (</w:t>
      </w:r>
      <w:proofErr w:type="spellStart"/>
      <w:r w:rsidRPr="00E94CE8">
        <w:rPr>
          <w:szCs w:val="24"/>
        </w:rPr>
        <w:t>kod</w:t>
      </w:r>
      <w:proofErr w:type="spellEnd"/>
      <w:r w:rsidRPr="00E94CE8">
        <w:rPr>
          <w:szCs w:val="24"/>
        </w:rPr>
        <w:t xml:space="preserve"> </w:t>
      </w:r>
      <w:proofErr w:type="spellStart"/>
      <w:r w:rsidRPr="00E94CE8">
        <w:rPr>
          <w:szCs w:val="24"/>
        </w:rPr>
        <w:t>ovih</w:t>
      </w:r>
      <w:proofErr w:type="spellEnd"/>
      <w:r w:rsidRPr="00E94CE8">
        <w:rPr>
          <w:szCs w:val="24"/>
        </w:rPr>
        <w:t xml:space="preserve"> </w:t>
      </w:r>
      <w:proofErr w:type="spellStart"/>
      <w:r w:rsidRPr="00E94CE8">
        <w:rPr>
          <w:szCs w:val="24"/>
        </w:rPr>
        <w:t>obveza</w:t>
      </w:r>
      <w:proofErr w:type="spellEnd"/>
      <w:r w:rsidRPr="00E94CE8">
        <w:rPr>
          <w:szCs w:val="24"/>
        </w:rPr>
        <w:t xml:space="preserve"> </w:t>
      </w:r>
      <w:proofErr w:type="spellStart"/>
      <w:r w:rsidRPr="00E94CE8">
        <w:rPr>
          <w:szCs w:val="24"/>
        </w:rPr>
        <w:t>nema</w:t>
      </w:r>
      <w:proofErr w:type="spellEnd"/>
      <w:r w:rsidRPr="00E94CE8">
        <w:rPr>
          <w:szCs w:val="24"/>
        </w:rPr>
        <w:t xml:space="preserve"> </w:t>
      </w:r>
      <w:proofErr w:type="spellStart"/>
      <w:r w:rsidRPr="00E94CE8">
        <w:rPr>
          <w:szCs w:val="24"/>
        </w:rPr>
        <w:t>značajnih</w:t>
      </w:r>
      <w:proofErr w:type="spellEnd"/>
      <w:r w:rsidRPr="00E94CE8">
        <w:rPr>
          <w:szCs w:val="24"/>
        </w:rPr>
        <w:t xml:space="preserve"> </w:t>
      </w:r>
      <w:proofErr w:type="spellStart"/>
      <w:r w:rsidRPr="00E94CE8">
        <w:rPr>
          <w:szCs w:val="24"/>
        </w:rPr>
        <w:t>kašnjenja</w:t>
      </w:r>
      <w:proofErr w:type="spellEnd"/>
      <w:r w:rsidRPr="00E94CE8">
        <w:rPr>
          <w:szCs w:val="24"/>
        </w:rPr>
        <w:t>).</w:t>
      </w:r>
    </w:p>
    <w:p w:rsidR="0065546E" w:rsidRPr="00E94CE8" w:rsidRDefault="0065546E" w:rsidP="0065546E">
      <w:pPr>
        <w:pStyle w:val="BodyText"/>
        <w:tabs>
          <w:tab w:val="left" w:pos="142"/>
          <w:tab w:val="left" w:pos="426"/>
        </w:tabs>
        <w:jc w:val="both"/>
        <w:rPr>
          <w:szCs w:val="24"/>
        </w:rPr>
      </w:pPr>
      <w:proofErr w:type="spellStart"/>
      <w:r w:rsidRPr="00E94CE8">
        <w:rPr>
          <w:szCs w:val="24"/>
        </w:rPr>
        <w:t>Svoje</w:t>
      </w:r>
      <w:proofErr w:type="spellEnd"/>
      <w:r w:rsidRPr="00E94CE8">
        <w:rPr>
          <w:szCs w:val="24"/>
        </w:rPr>
        <w:t xml:space="preserve"> </w:t>
      </w:r>
      <w:proofErr w:type="spellStart"/>
      <w:r w:rsidRPr="00E94CE8">
        <w:rPr>
          <w:szCs w:val="24"/>
        </w:rPr>
        <w:t>obveze</w:t>
      </w:r>
      <w:proofErr w:type="spellEnd"/>
      <w:r w:rsidRPr="00E94CE8">
        <w:rPr>
          <w:szCs w:val="24"/>
        </w:rPr>
        <w:t xml:space="preserve"> </w:t>
      </w:r>
      <w:proofErr w:type="spellStart"/>
      <w:r w:rsidRPr="00E94CE8">
        <w:rPr>
          <w:szCs w:val="24"/>
        </w:rPr>
        <w:t>Fakultet</w:t>
      </w:r>
      <w:proofErr w:type="spellEnd"/>
      <w:r w:rsidRPr="00E94CE8">
        <w:rPr>
          <w:szCs w:val="24"/>
        </w:rPr>
        <w:t xml:space="preserve"> </w:t>
      </w:r>
      <w:proofErr w:type="spellStart"/>
      <w:r w:rsidRPr="00E94CE8">
        <w:rPr>
          <w:szCs w:val="24"/>
        </w:rPr>
        <w:t>podmiruje</w:t>
      </w:r>
      <w:proofErr w:type="spellEnd"/>
      <w:r w:rsidRPr="00E94CE8">
        <w:rPr>
          <w:szCs w:val="24"/>
        </w:rPr>
        <w:t xml:space="preserve"> </w:t>
      </w:r>
      <w:proofErr w:type="spellStart"/>
      <w:r w:rsidRPr="00E94CE8">
        <w:rPr>
          <w:szCs w:val="24"/>
        </w:rPr>
        <w:t>redovito</w:t>
      </w:r>
      <w:proofErr w:type="spellEnd"/>
      <w:r w:rsidRPr="00E94CE8">
        <w:rPr>
          <w:szCs w:val="24"/>
        </w:rPr>
        <w:t xml:space="preserve">. </w:t>
      </w:r>
      <w:proofErr w:type="spellStart"/>
      <w:r w:rsidRPr="00E94CE8">
        <w:rPr>
          <w:szCs w:val="24"/>
        </w:rPr>
        <w:t>Izuzetak</w:t>
      </w:r>
      <w:proofErr w:type="spellEnd"/>
      <w:r w:rsidRPr="00E94CE8">
        <w:rPr>
          <w:szCs w:val="24"/>
        </w:rPr>
        <w:t xml:space="preserve"> od toga </w:t>
      </w:r>
      <w:proofErr w:type="spellStart"/>
      <w:r w:rsidRPr="00E94CE8">
        <w:rPr>
          <w:szCs w:val="24"/>
        </w:rPr>
        <w:t>su</w:t>
      </w:r>
      <w:proofErr w:type="spellEnd"/>
      <w:r w:rsidRPr="00E94CE8">
        <w:rPr>
          <w:szCs w:val="24"/>
        </w:rPr>
        <w:t xml:space="preserve"> </w:t>
      </w:r>
      <w:proofErr w:type="spellStart"/>
      <w:r w:rsidRPr="00E94CE8">
        <w:rPr>
          <w:szCs w:val="24"/>
        </w:rPr>
        <w:t>obveze</w:t>
      </w:r>
      <w:proofErr w:type="spellEnd"/>
      <w:r w:rsidRPr="00E94CE8">
        <w:rPr>
          <w:szCs w:val="24"/>
        </w:rPr>
        <w:t xml:space="preserve"> </w:t>
      </w:r>
      <w:proofErr w:type="spellStart"/>
      <w:r w:rsidRPr="00E94CE8">
        <w:rPr>
          <w:szCs w:val="24"/>
        </w:rPr>
        <w:t>prema</w:t>
      </w:r>
      <w:proofErr w:type="spellEnd"/>
      <w:r w:rsidRPr="00E94CE8">
        <w:rPr>
          <w:szCs w:val="24"/>
        </w:rPr>
        <w:t xml:space="preserve"> </w:t>
      </w:r>
      <w:proofErr w:type="spellStart"/>
      <w:r w:rsidRPr="00E94CE8">
        <w:rPr>
          <w:szCs w:val="24"/>
        </w:rPr>
        <w:t>Sveučilištu</w:t>
      </w:r>
      <w:proofErr w:type="spellEnd"/>
      <w:r w:rsidRPr="00E94CE8">
        <w:rPr>
          <w:szCs w:val="24"/>
        </w:rPr>
        <w:t xml:space="preserve"> u </w:t>
      </w:r>
      <w:proofErr w:type="spellStart"/>
      <w:proofErr w:type="gramStart"/>
      <w:r w:rsidRPr="00E94CE8">
        <w:rPr>
          <w:szCs w:val="24"/>
        </w:rPr>
        <w:t>Splitu</w:t>
      </w:r>
      <w:proofErr w:type="spellEnd"/>
      <w:r w:rsidRPr="00E94CE8">
        <w:rPr>
          <w:szCs w:val="24"/>
        </w:rPr>
        <w:t xml:space="preserve">  </w:t>
      </w:r>
      <w:proofErr w:type="spellStart"/>
      <w:r w:rsidRPr="00E94CE8">
        <w:rPr>
          <w:szCs w:val="24"/>
        </w:rPr>
        <w:t>koje</w:t>
      </w:r>
      <w:proofErr w:type="spellEnd"/>
      <w:proofErr w:type="gramEnd"/>
      <w:r w:rsidRPr="00E94CE8">
        <w:rPr>
          <w:szCs w:val="24"/>
        </w:rPr>
        <w:t xml:space="preserve"> </w:t>
      </w:r>
      <w:proofErr w:type="spellStart"/>
      <w:r w:rsidRPr="00E94CE8">
        <w:rPr>
          <w:szCs w:val="24"/>
        </w:rPr>
        <w:t>su</w:t>
      </w:r>
      <w:proofErr w:type="spellEnd"/>
      <w:r w:rsidRPr="00E94CE8">
        <w:rPr>
          <w:szCs w:val="24"/>
        </w:rPr>
        <w:t xml:space="preserve"> </w:t>
      </w:r>
      <w:proofErr w:type="spellStart"/>
      <w:r w:rsidRPr="00E94CE8">
        <w:rPr>
          <w:szCs w:val="24"/>
        </w:rPr>
        <w:t>dospjele</w:t>
      </w:r>
      <w:proofErr w:type="spellEnd"/>
      <w:r w:rsidRPr="00E94CE8">
        <w:rPr>
          <w:szCs w:val="24"/>
        </w:rPr>
        <w:t xml:space="preserve"> u </w:t>
      </w:r>
      <w:proofErr w:type="spellStart"/>
      <w:r w:rsidRPr="00E94CE8">
        <w:rPr>
          <w:szCs w:val="24"/>
        </w:rPr>
        <w:t>visini</w:t>
      </w:r>
      <w:proofErr w:type="spellEnd"/>
      <w:r w:rsidRPr="00E94CE8">
        <w:rPr>
          <w:szCs w:val="24"/>
        </w:rPr>
        <w:t xml:space="preserve"> 4.951.625,25 </w:t>
      </w:r>
      <w:proofErr w:type="spellStart"/>
      <w:r w:rsidRPr="00E94CE8">
        <w:rPr>
          <w:szCs w:val="24"/>
        </w:rPr>
        <w:t>kn</w:t>
      </w:r>
      <w:proofErr w:type="spellEnd"/>
      <w:r w:rsidR="001813C2">
        <w:rPr>
          <w:szCs w:val="24"/>
        </w:rPr>
        <w:t xml:space="preserve"> (657.193,61 EUR)</w:t>
      </w:r>
      <w:r w:rsidRPr="00E94CE8">
        <w:rPr>
          <w:szCs w:val="24"/>
        </w:rPr>
        <w:t xml:space="preserve">, a </w:t>
      </w:r>
      <w:proofErr w:type="spellStart"/>
      <w:r w:rsidRPr="00E94CE8">
        <w:rPr>
          <w:szCs w:val="24"/>
        </w:rPr>
        <w:t>koje</w:t>
      </w:r>
      <w:proofErr w:type="spellEnd"/>
      <w:r w:rsidRPr="00E94CE8">
        <w:rPr>
          <w:szCs w:val="24"/>
        </w:rPr>
        <w:t xml:space="preserve"> se </w:t>
      </w:r>
      <w:proofErr w:type="spellStart"/>
      <w:r w:rsidRPr="00E94CE8">
        <w:rPr>
          <w:szCs w:val="24"/>
        </w:rPr>
        <w:t>odnose</w:t>
      </w:r>
      <w:proofErr w:type="spellEnd"/>
      <w:r w:rsidRPr="00E94CE8">
        <w:rPr>
          <w:szCs w:val="24"/>
        </w:rPr>
        <w:t xml:space="preserve"> </w:t>
      </w:r>
      <w:proofErr w:type="spellStart"/>
      <w:r w:rsidRPr="00E94CE8">
        <w:rPr>
          <w:szCs w:val="24"/>
        </w:rPr>
        <w:t>na</w:t>
      </w:r>
      <w:proofErr w:type="spellEnd"/>
      <w:r w:rsidRPr="00E94CE8">
        <w:rPr>
          <w:szCs w:val="24"/>
        </w:rPr>
        <w:t xml:space="preserve"> </w:t>
      </w:r>
      <w:proofErr w:type="spellStart"/>
      <w:r w:rsidRPr="00E94CE8">
        <w:rPr>
          <w:szCs w:val="24"/>
        </w:rPr>
        <w:t>obračunate</w:t>
      </w:r>
      <w:proofErr w:type="spellEnd"/>
      <w:r w:rsidRPr="00E94CE8">
        <w:rPr>
          <w:szCs w:val="24"/>
        </w:rPr>
        <w:t xml:space="preserve"> </w:t>
      </w:r>
      <w:proofErr w:type="spellStart"/>
      <w:r w:rsidRPr="00E94CE8">
        <w:rPr>
          <w:szCs w:val="24"/>
        </w:rPr>
        <w:t>obveze</w:t>
      </w:r>
      <w:proofErr w:type="spellEnd"/>
      <w:r w:rsidRPr="00E94CE8">
        <w:rPr>
          <w:szCs w:val="24"/>
        </w:rPr>
        <w:t xml:space="preserve"> u </w:t>
      </w:r>
      <w:proofErr w:type="spellStart"/>
      <w:r w:rsidRPr="00E94CE8">
        <w:rPr>
          <w:szCs w:val="24"/>
        </w:rPr>
        <w:t>visini</w:t>
      </w:r>
      <w:proofErr w:type="spellEnd"/>
      <w:r w:rsidRPr="00E94CE8">
        <w:rPr>
          <w:szCs w:val="24"/>
        </w:rPr>
        <w:t xml:space="preserve"> 15% </w:t>
      </w:r>
      <w:proofErr w:type="spellStart"/>
      <w:r w:rsidRPr="00E94CE8">
        <w:rPr>
          <w:szCs w:val="24"/>
        </w:rPr>
        <w:t>od</w:t>
      </w:r>
      <w:proofErr w:type="spellEnd"/>
      <w:r w:rsidRPr="00E94CE8">
        <w:rPr>
          <w:szCs w:val="24"/>
        </w:rPr>
        <w:t xml:space="preserve"> </w:t>
      </w:r>
      <w:proofErr w:type="spellStart"/>
      <w:r w:rsidRPr="00E94CE8">
        <w:rPr>
          <w:szCs w:val="24"/>
        </w:rPr>
        <w:t>školarina</w:t>
      </w:r>
      <w:proofErr w:type="spellEnd"/>
      <w:r w:rsidRPr="00E94CE8">
        <w:rPr>
          <w:szCs w:val="24"/>
        </w:rPr>
        <w:t xml:space="preserve"> </w:t>
      </w:r>
      <w:proofErr w:type="spellStart"/>
      <w:r w:rsidRPr="00E94CE8">
        <w:rPr>
          <w:szCs w:val="24"/>
        </w:rPr>
        <w:t>studija</w:t>
      </w:r>
      <w:proofErr w:type="spellEnd"/>
      <w:r w:rsidRPr="00E94CE8">
        <w:rPr>
          <w:szCs w:val="24"/>
        </w:rPr>
        <w:t xml:space="preserve"> </w:t>
      </w:r>
      <w:proofErr w:type="spellStart"/>
      <w:r w:rsidRPr="00E94CE8">
        <w:rPr>
          <w:szCs w:val="24"/>
        </w:rPr>
        <w:t>Medicina</w:t>
      </w:r>
      <w:proofErr w:type="spellEnd"/>
      <w:r w:rsidRPr="00E94CE8">
        <w:rPr>
          <w:szCs w:val="24"/>
        </w:rPr>
        <w:t xml:space="preserve"> </w:t>
      </w:r>
      <w:proofErr w:type="spellStart"/>
      <w:r w:rsidRPr="00E94CE8">
        <w:rPr>
          <w:szCs w:val="24"/>
        </w:rPr>
        <w:t>na</w:t>
      </w:r>
      <w:proofErr w:type="spellEnd"/>
      <w:r w:rsidRPr="00E94CE8">
        <w:rPr>
          <w:szCs w:val="24"/>
        </w:rPr>
        <w:t xml:space="preserve"> </w:t>
      </w:r>
      <w:proofErr w:type="spellStart"/>
      <w:r w:rsidRPr="00E94CE8">
        <w:rPr>
          <w:szCs w:val="24"/>
        </w:rPr>
        <w:t>engleskom</w:t>
      </w:r>
      <w:proofErr w:type="spellEnd"/>
      <w:r w:rsidRPr="00E94CE8">
        <w:rPr>
          <w:szCs w:val="24"/>
        </w:rPr>
        <w:t xml:space="preserve"> </w:t>
      </w:r>
      <w:proofErr w:type="spellStart"/>
      <w:r w:rsidRPr="00E94CE8">
        <w:rPr>
          <w:szCs w:val="24"/>
        </w:rPr>
        <w:t>jeziku</w:t>
      </w:r>
      <w:proofErr w:type="spellEnd"/>
      <w:r w:rsidRPr="00E94CE8">
        <w:rPr>
          <w:szCs w:val="24"/>
        </w:rPr>
        <w:t xml:space="preserve"> za </w:t>
      </w:r>
      <w:proofErr w:type="spellStart"/>
      <w:r w:rsidRPr="00E94CE8">
        <w:rPr>
          <w:szCs w:val="24"/>
        </w:rPr>
        <w:t>ak</w:t>
      </w:r>
      <w:proofErr w:type="spellEnd"/>
      <w:r w:rsidRPr="00E94CE8">
        <w:rPr>
          <w:szCs w:val="24"/>
        </w:rPr>
        <w:t xml:space="preserve">. </w:t>
      </w:r>
      <w:proofErr w:type="spellStart"/>
      <w:r w:rsidRPr="00E94CE8">
        <w:rPr>
          <w:szCs w:val="24"/>
        </w:rPr>
        <w:t>godinu</w:t>
      </w:r>
      <w:proofErr w:type="spellEnd"/>
      <w:r w:rsidRPr="00E94CE8">
        <w:rPr>
          <w:szCs w:val="24"/>
        </w:rPr>
        <w:t xml:space="preserve"> 2020/2021. (</w:t>
      </w:r>
      <w:proofErr w:type="spellStart"/>
      <w:r w:rsidRPr="00E94CE8">
        <w:rPr>
          <w:szCs w:val="24"/>
        </w:rPr>
        <w:t>dio</w:t>
      </w:r>
      <w:proofErr w:type="spellEnd"/>
      <w:r w:rsidRPr="00E94CE8">
        <w:rPr>
          <w:szCs w:val="24"/>
        </w:rPr>
        <w:t xml:space="preserve">) </w:t>
      </w:r>
      <w:proofErr w:type="spellStart"/>
      <w:r w:rsidRPr="00E94CE8">
        <w:rPr>
          <w:szCs w:val="24"/>
        </w:rPr>
        <w:t>te</w:t>
      </w:r>
      <w:proofErr w:type="spellEnd"/>
      <w:r w:rsidRPr="00E94CE8">
        <w:rPr>
          <w:szCs w:val="24"/>
        </w:rPr>
        <w:t xml:space="preserve"> za </w:t>
      </w:r>
      <w:proofErr w:type="spellStart"/>
      <w:r w:rsidRPr="00E94CE8">
        <w:rPr>
          <w:szCs w:val="24"/>
        </w:rPr>
        <w:t>ak</w:t>
      </w:r>
      <w:proofErr w:type="spellEnd"/>
      <w:r w:rsidRPr="00E94CE8">
        <w:rPr>
          <w:szCs w:val="24"/>
        </w:rPr>
        <w:t xml:space="preserve">. </w:t>
      </w:r>
      <w:proofErr w:type="spellStart"/>
      <w:r w:rsidRPr="00E94CE8">
        <w:rPr>
          <w:szCs w:val="24"/>
        </w:rPr>
        <w:t>godinu</w:t>
      </w:r>
      <w:proofErr w:type="spellEnd"/>
      <w:r w:rsidRPr="00E94CE8">
        <w:rPr>
          <w:szCs w:val="24"/>
        </w:rPr>
        <w:t xml:space="preserve"> 2021/2022. S </w:t>
      </w:r>
      <w:proofErr w:type="spellStart"/>
      <w:r w:rsidRPr="00E94CE8">
        <w:rPr>
          <w:szCs w:val="24"/>
        </w:rPr>
        <w:t>obzirom</w:t>
      </w:r>
      <w:proofErr w:type="spellEnd"/>
      <w:r w:rsidRPr="00E94CE8">
        <w:rPr>
          <w:szCs w:val="24"/>
        </w:rPr>
        <w:t xml:space="preserve"> da se </w:t>
      </w:r>
      <w:proofErr w:type="spellStart"/>
      <w:r w:rsidRPr="00E94CE8">
        <w:rPr>
          <w:szCs w:val="24"/>
        </w:rPr>
        <w:t>radi</w:t>
      </w:r>
      <w:proofErr w:type="spellEnd"/>
      <w:r w:rsidRPr="00E94CE8">
        <w:rPr>
          <w:szCs w:val="24"/>
        </w:rPr>
        <w:t xml:space="preserve"> o </w:t>
      </w:r>
      <w:proofErr w:type="spellStart"/>
      <w:r w:rsidRPr="00E94CE8">
        <w:rPr>
          <w:szCs w:val="24"/>
        </w:rPr>
        <w:t>visokim</w:t>
      </w:r>
      <w:proofErr w:type="spellEnd"/>
      <w:r w:rsidRPr="00E94CE8">
        <w:rPr>
          <w:szCs w:val="24"/>
        </w:rPr>
        <w:t xml:space="preserve"> </w:t>
      </w:r>
      <w:proofErr w:type="spellStart"/>
      <w:r w:rsidRPr="00E94CE8">
        <w:rPr>
          <w:szCs w:val="24"/>
        </w:rPr>
        <w:t>iznosima</w:t>
      </w:r>
      <w:proofErr w:type="spellEnd"/>
      <w:r w:rsidRPr="00E94CE8">
        <w:rPr>
          <w:szCs w:val="24"/>
        </w:rPr>
        <w:t xml:space="preserve"> </w:t>
      </w:r>
      <w:proofErr w:type="spellStart"/>
      <w:r w:rsidRPr="00E94CE8">
        <w:rPr>
          <w:szCs w:val="24"/>
        </w:rPr>
        <w:t>koje</w:t>
      </w:r>
      <w:proofErr w:type="spellEnd"/>
      <w:r w:rsidRPr="00E94CE8">
        <w:rPr>
          <w:szCs w:val="24"/>
        </w:rPr>
        <w:t xml:space="preserve"> </w:t>
      </w:r>
      <w:proofErr w:type="spellStart"/>
      <w:r w:rsidRPr="00E94CE8">
        <w:rPr>
          <w:szCs w:val="24"/>
        </w:rPr>
        <w:t>značajno</w:t>
      </w:r>
      <w:proofErr w:type="spellEnd"/>
      <w:r w:rsidRPr="00E94CE8">
        <w:rPr>
          <w:szCs w:val="24"/>
        </w:rPr>
        <w:t xml:space="preserve"> </w:t>
      </w:r>
      <w:proofErr w:type="spellStart"/>
      <w:r w:rsidRPr="00E94CE8">
        <w:rPr>
          <w:szCs w:val="24"/>
        </w:rPr>
        <w:t>utječu</w:t>
      </w:r>
      <w:proofErr w:type="spellEnd"/>
      <w:r w:rsidRPr="00E94CE8">
        <w:rPr>
          <w:szCs w:val="24"/>
        </w:rPr>
        <w:t xml:space="preserve"> </w:t>
      </w:r>
      <w:proofErr w:type="spellStart"/>
      <w:r w:rsidRPr="00E94CE8">
        <w:rPr>
          <w:szCs w:val="24"/>
        </w:rPr>
        <w:t>na</w:t>
      </w:r>
      <w:proofErr w:type="spellEnd"/>
      <w:r w:rsidRPr="00E94CE8">
        <w:rPr>
          <w:szCs w:val="24"/>
        </w:rPr>
        <w:t xml:space="preserve"> </w:t>
      </w:r>
      <w:proofErr w:type="spellStart"/>
      <w:r w:rsidRPr="00E94CE8">
        <w:rPr>
          <w:szCs w:val="24"/>
        </w:rPr>
        <w:t>likvidnost</w:t>
      </w:r>
      <w:proofErr w:type="spellEnd"/>
      <w:r w:rsidRPr="00E94CE8">
        <w:rPr>
          <w:szCs w:val="24"/>
        </w:rPr>
        <w:t xml:space="preserve"> </w:t>
      </w:r>
      <w:proofErr w:type="spellStart"/>
      <w:r w:rsidRPr="00E94CE8">
        <w:rPr>
          <w:szCs w:val="24"/>
        </w:rPr>
        <w:t>Fakulteta</w:t>
      </w:r>
      <w:proofErr w:type="spellEnd"/>
      <w:r w:rsidRPr="00E94CE8">
        <w:rPr>
          <w:szCs w:val="24"/>
        </w:rPr>
        <w:t xml:space="preserve">, </w:t>
      </w:r>
      <w:proofErr w:type="spellStart"/>
      <w:r w:rsidRPr="00E94CE8">
        <w:rPr>
          <w:szCs w:val="24"/>
        </w:rPr>
        <w:t>sa</w:t>
      </w:r>
      <w:proofErr w:type="spellEnd"/>
      <w:r w:rsidRPr="00E94CE8">
        <w:rPr>
          <w:szCs w:val="24"/>
        </w:rPr>
        <w:t xml:space="preserve"> </w:t>
      </w:r>
      <w:proofErr w:type="spellStart"/>
      <w:r w:rsidRPr="00E94CE8">
        <w:rPr>
          <w:szCs w:val="24"/>
        </w:rPr>
        <w:t>Sveučilištem</w:t>
      </w:r>
      <w:proofErr w:type="spellEnd"/>
      <w:r w:rsidRPr="00E94CE8">
        <w:rPr>
          <w:szCs w:val="24"/>
        </w:rPr>
        <w:t xml:space="preserve"> je </w:t>
      </w:r>
      <w:proofErr w:type="spellStart"/>
      <w:r w:rsidRPr="00E94CE8">
        <w:rPr>
          <w:szCs w:val="24"/>
        </w:rPr>
        <w:t>dogovoreno</w:t>
      </w:r>
      <w:proofErr w:type="spellEnd"/>
      <w:r w:rsidRPr="00E94CE8">
        <w:rPr>
          <w:szCs w:val="24"/>
        </w:rPr>
        <w:t xml:space="preserve"> da </w:t>
      </w:r>
      <w:proofErr w:type="spellStart"/>
      <w:r w:rsidRPr="00E94CE8">
        <w:rPr>
          <w:szCs w:val="24"/>
        </w:rPr>
        <w:t>će</w:t>
      </w:r>
      <w:proofErr w:type="spellEnd"/>
      <w:r w:rsidRPr="00E94CE8">
        <w:rPr>
          <w:szCs w:val="24"/>
        </w:rPr>
        <w:t xml:space="preserve"> se </w:t>
      </w:r>
      <w:proofErr w:type="spellStart"/>
      <w:r w:rsidRPr="00E94CE8">
        <w:rPr>
          <w:szCs w:val="24"/>
        </w:rPr>
        <w:t>postojeća</w:t>
      </w:r>
      <w:proofErr w:type="spellEnd"/>
      <w:r w:rsidRPr="00E94CE8">
        <w:rPr>
          <w:szCs w:val="24"/>
        </w:rPr>
        <w:t xml:space="preserve"> </w:t>
      </w:r>
      <w:proofErr w:type="spellStart"/>
      <w:r w:rsidRPr="00E94CE8">
        <w:rPr>
          <w:szCs w:val="24"/>
        </w:rPr>
        <w:t>obveza</w:t>
      </w:r>
      <w:proofErr w:type="spellEnd"/>
      <w:r w:rsidRPr="00E94CE8">
        <w:rPr>
          <w:szCs w:val="24"/>
        </w:rPr>
        <w:t xml:space="preserve"> </w:t>
      </w:r>
      <w:proofErr w:type="spellStart"/>
      <w:r w:rsidRPr="00E94CE8">
        <w:rPr>
          <w:szCs w:val="24"/>
        </w:rPr>
        <w:t>plaćati</w:t>
      </w:r>
      <w:proofErr w:type="spellEnd"/>
      <w:r w:rsidRPr="00E94CE8">
        <w:rPr>
          <w:szCs w:val="24"/>
        </w:rPr>
        <w:t xml:space="preserve"> u </w:t>
      </w:r>
      <w:proofErr w:type="spellStart"/>
      <w:r w:rsidRPr="00E94CE8">
        <w:rPr>
          <w:szCs w:val="24"/>
        </w:rPr>
        <w:t>tranšama</w:t>
      </w:r>
      <w:proofErr w:type="spellEnd"/>
      <w:r w:rsidRPr="00E94CE8">
        <w:rPr>
          <w:szCs w:val="24"/>
        </w:rPr>
        <w:t xml:space="preserve"> </w:t>
      </w:r>
      <w:proofErr w:type="spellStart"/>
      <w:r w:rsidRPr="00E94CE8">
        <w:rPr>
          <w:szCs w:val="24"/>
        </w:rPr>
        <w:t>prema</w:t>
      </w:r>
      <w:proofErr w:type="spellEnd"/>
      <w:r w:rsidRPr="00E94CE8">
        <w:rPr>
          <w:szCs w:val="24"/>
        </w:rPr>
        <w:t xml:space="preserve"> </w:t>
      </w:r>
      <w:proofErr w:type="spellStart"/>
      <w:r w:rsidRPr="00E94CE8">
        <w:rPr>
          <w:szCs w:val="24"/>
        </w:rPr>
        <w:t>financijskim</w:t>
      </w:r>
      <w:proofErr w:type="spellEnd"/>
      <w:r w:rsidRPr="00E94CE8">
        <w:rPr>
          <w:szCs w:val="24"/>
        </w:rPr>
        <w:t xml:space="preserve"> </w:t>
      </w:r>
      <w:proofErr w:type="spellStart"/>
      <w:r w:rsidRPr="00E94CE8">
        <w:rPr>
          <w:szCs w:val="24"/>
        </w:rPr>
        <w:t>mogućnostima</w:t>
      </w:r>
      <w:proofErr w:type="spellEnd"/>
      <w:r w:rsidRPr="00E94CE8">
        <w:rPr>
          <w:szCs w:val="24"/>
        </w:rPr>
        <w:t xml:space="preserve"> </w:t>
      </w:r>
      <w:proofErr w:type="spellStart"/>
      <w:r w:rsidRPr="00E94CE8">
        <w:rPr>
          <w:szCs w:val="24"/>
        </w:rPr>
        <w:t>Fakulteta</w:t>
      </w:r>
      <w:proofErr w:type="spellEnd"/>
      <w:r w:rsidRPr="00E94CE8">
        <w:rPr>
          <w:szCs w:val="24"/>
        </w:rPr>
        <w:t>.</w:t>
      </w:r>
    </w:p>
    <w:p w:rsidR="0065546E" w:rsidRPr="00E94CE8" w:rsidRDefault="0065546E" w:rsidP="0065546E">
      <w:pPr>
        <w:pStyle w:val="BodyText"/>
        <w:tabs>
          <w:tab w:val="left" w:pos="142"/>
          <w:tab w:val="left" w:pos="426"/>
        </w:tabs>
        <w:jc w:val="both"/>
        <w:rPr>
          <w:szCs w:val="24"/>
        </w:rPr>
      </w:pPr>
      <w:proofErr w:type="spellStart"/>
      <w:r w:rsidRPr="00E94CE8">
        <w:rPr>
          <w:szCs w:val="24"/>
        </w:rPr>
        <w:t>Ostale</w:t>
      </w:r>
      <w:proofErr w:type="spellEnd"/>
      <w:r w:rsidRPr="00E94CE8">
        <w:rPr>
          <w:szCs w:val="24"/>
        </w:rPr>
        <w:t xml:space="preserve"> </w:t>
      </w:r>
      <w:proofErr w:type="spellStart"/>
      <w:r w:rsidRPr="00E94CE8">
        <w:rPr>
          <w:szCs w:val="24"/>
        </w:rPr>
        <w:t>obaveze</w:t>
      </w:r>
      <w:proofErr w:type="spellEnd"/>
      <w:r w:rsidRPr="00E94CE8">
        <w:rPr>
          <w:szCs w:val="24"/>
        </w:rPr>
        <w:t xml:space="preserve"> se </w:t>
      </w:r>
      <w:proofErr w:type="spellStart"/>
      <w:r w:rsidRPr="00E94CE8">
        <w:rPr>
          <w:szCs w:val="24"/>
        </w:rPr>
        <w:t>odnose</w:t>
      </w:r>
      <w:proofErr w:type="spellEnd"/>
      <w:r w:rsidRPr="00E94CE8">
        <w:rPr>
          <w:szCs w:val="24"/>
        </w:rPr>
        <w:t xml:space="preserve"> </w:t>
      </w:r>
      <w:proofErr w:type="spellStart"/>
      <w:r w:rsidRPr="00E94CE8">
        <w:rPr>
          <w:szCs w:val="24"/>
        </w:rPr>
        <w:t>na</w:t>
      </w:r>
      <w:proofErr w:type="spellEnd"/>
      <w:r w:rsidRPr="00E94CE8">
        <w:rPr>
          <w:szCs w:val="24"/>
        </w:rPr>
        <w:t xml:space="preserve"> </w:t>
      </w:r>
      <w:proofErr w:type="spellStart"/>
      <w:r w:rsidRPr="00E94CE8">
        <w:rPr>
          <w:szCs w:val="24"/>
        </w:rPr>
        <w:t>obaveze</w:t>
      </w:r>
      <w:proofErr w:type="spellEnd"/>
      <w:r w:rsidRPr="00E94CE8">
        <w:rPr>
          <w:szCs w:val="24"/>
        </w:rPr>
        <w:t xml:space="preserve"> </w:t>
      </w:r>
      <w:proofErr w:type="spellStart"/>
      <w:r w:rsidRPr="00E94CE8">
        <w:rPr>
          <w:szCs w:val="24"/>
        </w:rPr>
        <w:t>prema</w:t>
      </w:r>
      <w:proofErr w:type="spellEnd"/>
      <w:r w:rsidRPr="00E94CE8">
        <w:rPr>
          <w:szCs w:val="24"/>
        </w:rPr>
        <w:t xml:space="preserve"> KBC-u Split </w:t>
      </w:r>
      <w:proofErr w:type="spellStart"/>
      <w:r w:rsidRPr="00E94CE8">
        <w:rPr>
          <w:szCs w:val="24"/>
        </w:rPr>
        <w:t>te</w:t>
      </w:r>
      <w:proofErr w:type="spellEnd"/>
      <w:r w:rsidRPr="00E94CE8">
        <w:rPr>
          <w:szCs w:val="24"/>
        </w:rPr>
        <w:t xml:space="preserve"> </w:t>
      </w:r>
      <w:proofErr w:type="spellStart"/>
      <w:r w:rsidRPr="00E94CE8">
        <w:rPr>
          <w:szCs w:val="24"/>
        </w:rPr>
        <w:t>Stomatološkoj</w:t>
      </w:r>
      <w:proofErr w:type="spellEnd"/>
      <w:r w:rsidRPr="00E94CE8">
        <w:rPr>
          <w:szCs w:val="24"/>
        </w:rPr>
        <w:t xml:space="preserve"> </w:t>
      </w:r>
      <w:proofErr w:type="spellStart"/>
      <w:r w:rsidRPr="00E94CE8">
        <w:rPr>
          <w:szCs w:val="24"/>
        </w:rPr>
        <w:t>poliklinici</w:t>
      </w:r>
      <w:proofErr w:type="spellEnd"/>
      <w:r w:rsidRPr="00E94CE8">
        <w:rPr>
          <w:szCs w:val="24"/>
        </w:rPr>
        <w:t xml:space="preserve"> (</w:t>
      </w:r>
      <w:proofErr w:type="spellStart"/>
      <w:r w:rsidRPr="00E94CE8">
        <w:rPr>
          <w:szCs w:val="24"/>
        </w:rPr>
        <w:t>ukupno</w:t>
      </w:r>
      <w:proofErr w:type="spellEnd"/>
      <w:r w:rsidRPr="00E94CE8">
        <w:rPr>
          <w:szCs w:val="24"/>
        </w:rPr>
        <w:t xml:space="preserve"> 13.491,50</w:t>
      </w:r>
      <w:r w:rsidR="001813C2">
        <w:rPr>
          <w:szCs w:val="24"/>
        </w:rPr>
        <w:t xml:space="preserve"> </w:t>
      </w:r>
      <w:proofErr w:type="spellStart"/>
      <w:r w:rsidR="001813C2">
        <w:rPr>
          <w:szCs w:val="24"/>
        </w:rPr>
        <w:t>kn</w:t>
      </w:r>
      <w:proofErr w:type="spellEnd"/>
      <w:r w:rsidR="001813C2">
        <w:rPr>
          <w:szCs w:val="24"/>
        </w:rPr>
        <w:t xml:space="preserve"> (1.790,63 EUR</w:t>
      </w:r>
      <w:r w:rsidRPr="00E94CE8">
        <w:rPr>
          <w:szCs w:val="24"/>
        </w:rPr>
        <w:t xml:space="preserve">) </w:t>
      </w:r>
      <w:proofErr w:type="spellStart"/>
      <w:r w:rsidRPr="00E94CE8">
        <w:rPr>
          <w:szCs w:val="24"/>
        </w:rPr>
        <w:t>kn</w:t>
      </w:r>
      <w:proofErr w:type="spellEnd"/>
      <w:r w:rsidRPr="00E94CE8">
        <w:rPr>
          <w:szCs w:val="24"/>
        </w:rPr>
        <w:t xml:space="preserve"> </w:t>
      </w:r>
      <w:proofErr w:type="spellStart"/>
      <w:r w:rsidRPr="00E94CE8">
        <w:rPr>
          <w:szCs w:val="24"/>
        </w:rPr>
        <w:t>te</w:t>
      </w:r>
      <w:proofErr w:type="spellEnd"/>
      <w:r w:rsidRPr="00E94CE8">
        <w:rPr>
          <w:szCs w:val="24"/>
        </w:rPr>
        <w:t xml:space="preserve"> </w:t>
      </w:r>
      <w:proofErr w:type="spellStart"/>
      <w:r w:rsidRPr="00E94CE8">
        <w:rPr>
          <w:szCs w:val="24"/>
        </w:rPr>
        <w:t>kod</w:t>
      </w:r>
      <w:proofErr w:type="spellEnd"/>
      <w:r w:rsidRPr="00E94CE8">
        <w:rPr>
          <w:szCs w:val="24"/>
        </w:rPr>
        <w:t xml:space="preserve"> </w:t>
      </w:r>
      <w:proofErr w:type="spellStart"/>
      <w:r w:rsidRPr="00E94CE8">
        <w:rPr>
          <w:szCs w:val="24"/>
        </w:rPr>
        <w:t>njih</w:t>
      </w:r>
      <w:proofErr w:type="spellEnd"/>
      <w:r w:rsidRPr="00E94CE8">
        <w:rPr>
          <w:szCs w:val="24"/>
        </w:rPr>
        <w:t xml:space="preserve"> </w:t>
      </w:r>
      <w:proofErr w:type="spellStart"/>
      <w:r w:rsidRPr="00E94CE8">
        <w:rPr>
          <w:szCs w:val="24"/>
        </w:rPr>
        <w:t>nema</w:t>
      </w:r>
      <w:proofErr w:type="spellEnd"/>
      <w:r w:rsidRPr="00E94CE8">
        <w:rPr>
          <w:szCs w:val="24"/>
        </w:rPr>
        <w:t xml:space="preserve"> </w:t>
      </w:r>
      <w:proofErr w:type="spellStart"/>
      <w:r w:rsidRPr="00E94CE8">
        <w:rPr>
          <w:szCs w:val="24"/>
        </w:rPr>
        <w:t>značajnijeg</w:t>
      </w:r>
      <w:proofErr w:type="spellEnd"/>
      <w:r w:rsidRPr="00E94CE8">
        <w:rPr>
          <w:szCs w:val="24"/>
        </w:rPr>
        <w:t xml:space="preserve"> </w:t>
      </w:r>
      <w:proofErr w:type="spellStart"/>
      <w:r w:rsidRPr="00E94CE8">
        <w:rPr>
          <w:szCs w:val="24"/>
        </w:rPr>
        <w:t>kašnjenja</w:t>
      </w:r>
      <w:proofErr w:type="spellEnd"/>
      <w:r w:rsidRPr="00E94CE8">
        <w:rPr>
          <w:szCs w:val="24"/>
        </w:rPr>
        <w:t>.</w:t>
      </w:r>
    </w:p>
    <w:p w:rsidR="0065546E" w:rsidRPr="00E94CE8" w:rsidRDefault="0065546E" w:rsidP="0065546E">
      <w:pPr>
        <w:spacing w:line="240" w:lineRule="auto"/>
        <w:jc w:val="both"/>
        <w:rPr>
          <w:rFonts w:ascii="Times New Roman" w:hAnsi="Times New Roman" w:cs="Times New Roman"/>
          <w:sz w:val="24"/>
          <w:szCs w:val="24"/>
        </w:rPr>
      </w:pPr>
    </w:p>
    <w:p w:rsidR="0065546E" w:rsidRPr="00C160F9" w:rsidRDefault="0065546E" w:rsidP="00C160F9">
      <w:pPr>
        <w:pStyle w:val="BodyText"/>
        <w:tabs>
          <w:tab w:val="left" w:pos="142"/>
          <w:tab w:val="left" w:pos="426"/>
        </w:tabs>
        <w:ind w:right="44"/>
        <w:jc w:val="both"/>
        <w:rPr>
          <w:rFonts w:eastAsiaTheme="minorHAnsi"/>
          <w:b/>
          <w:szCs w:val="24"/>
          <w:lang w:val="hr-HR"/>
        </w:rPr>
      </w:pPr>
      <w:r w:rsidRPr="00C160F9">
        <w:rPr>
          <w:rFonts w:eastAsiaTheme="minorHAnsi"/>
          <w:b/>
          <w:szCs w:val="24"/>
          <w:lang w:val="hr-HR"/>
        </w:rPr>
        <w:t xml:space="preserve">Dospjele obveze </w:t>
      </w:r>
      <w:r w:rsidR="007F4DE1" w:rsidRPr="00C160F9">
        <w:rPr>
          <w:rFonts w:eastAsiaTheme="minorHAnsi"/>
          <w:b/>
          <w:szCs w:val="24"/>
          <w:lang w:val="hr-HR"/>
        </w:rPr>
        <w:t>31.12.2023.</w:t>
      </w:r>
    </w:p>
    <w:p w:rsidR="0065546E" w:rsidRPr="00A81565" w:rsidRDefault="0065546E" w:rsidP="0065546E">
      <w:pPr>
        <w:pStyle w:val="BodyText"/>
        <w:tabs>
          <w:tab w:val="left" w:pos="142"/>
          <w:tab w:val="left" w:pos="426"/>
        </w:tabs>
        <w:jc w:val="both"/>
        <w:rPr>
          <w:b/>
          <w:szCs w:val="24"/>
          <w:highlight w:val="yellow"/>
        </w:rPr>
      </w:pPr>
    </w:p>
    <w:p w:rsidR="00C160F9" w:rsidRPr="00D659DD" w:rsidRDefault="00C160F9" w:rsidP="00C160F9">
      <w:pPr>
        <w:pStyle w:val="BodyText"/>
        <w:tabs>
          <w:tab w:val="left" w:pos="142"/>
          <w:tab w:val="left" w:pos="426"/>
        </w:tabs>
        <w:ind w:right="44"/>
        <w:jc w:val="both"/>
        <w:rPr>
          <w:rFonts w:eastAsiaTheme="minorHAnsi"/>
          <w:szCs w:val="24"/>
          <w:lang w:val="hr-HR"/>
        </w:rPr>
      </w:pPr>
      <w:r w:rsidRPr="00D659DD">
        <w:rPr>
          <w:rFonts w:eastAsiaTheme="minorHAnsi"/>
          <w:szCs w:val="24"/>
          <w:lang w:val="hr-HR"/>
        </w:rPr>
        <w:t>Stanje dospjelih obveza na kraju izvještajnog razdoblja u visini 869.964,19 EUR se u najvećoj mjeri odnosi na obveze prema proračunskim korisnicima u iznosu od 851.750,54 EUR dok se ostatak u visini 18.213,65 EUR odnosi na tekuće obveze za materijalne rashode i nabavu nefinancijske imovine (kod ovih obveza nema značajnih kašnjenja).</w:t>
      </w:r>
    </w:p>
    <w:p w:rsidR="00C160F9" w:rsidRPr="00D659DD" w:rsidRDefault="00C160F9" w:rsidP="00C160F9">
      <w:pPr>
        <w:pStyle w:val="BodyText"/>
        <w:tabs>
          <w:tab w:val="left" w:pos="142"/>
          <w:tab w:val="left" w:pos="426"/>
        </w:tabs>
        <w:ind w:right="44"/>
        <w:jc w:val="both"/>
        <w:rPr>
          <w:rFonts w:eastAsiaTheme="minorHAnsi"/>
          <w:szCs w:val="24"/>
          <w:lang w:val="hr-HR"/>
        </w:rPr>
      </w:pPr>
    </w:p>
    <w:p w:rsidR="00C160F9" w:rsidRPr="00D659DD" w:rsidRDefault="00C160F9" w:rsidP="00C160F9">
      <w:pPr>
        <w:pStyle w:val="BodyText"/>
        <w:tabs>
          <w:tab w:val="left" w:pos="142"/>
          <w:tab w:val="left" w:pos="426"/>
        </w:tabs>
        <w:ind w:right="44"/>
        <w:jc w:val="both"/>
        <w:rPr>
          <w:rFonts w:eastAsiaTheme="minorHAnsi"/>
          <w:szCs w:val="24"/>
          <w:lang w:val="hr-HR"/>
        </w:rPr>
      </w:pPr>
      <w:proofErr w:type="spellStart"/>
      <w:r w:rsidRPr="00D659DD">
        <w:rPr>
          <w:szCs w:val="24"/>
        </w:rPr>
        <w:t>Dospjele</w:t>
      </w:r>
      <w:proofErr w:type="spellEnd"/>
      <w:r w:rsidRPr="00D659DD">
        <w:rPr>
          <w:szCs w:val="24"/>
        </w:rPr>
        <w:t xml:space="preserve"> </w:t>
      </w:r>
      <w:proofErr w:type="spellStart"/>
      <w:r w:rsidRPr="00D659DD">
        <w:rPr>
          <w:szCs w:val="24"/>
        </w:rPr>
        <w:t>obveze</w:t>
      </w:r>
      <w:proofErr w:type="spellEnd"/>
      <w:r w:rsidRPr="00D659DD">
        <w:rPr>
          <w:szCs w:val="24"/>
        </w:rPr>
        <w:t xml:space="preserve"> </w:t>
      </w:r>
      <w:proofErr w:type="spellStart"/>
      <w:r w:rsidRPr="00D659DD">
        <w:rPr>
          <w:szCs w:val="24"/>
        </w:rPr>
        <w:t>prema</w:t>
      </w:r>
      <w:proofErr w:type="spellEnd"/>
      <w:r w:rsidRPr="00D659DD">
        <w:rPr>
          <w:szCs w:val="24"/>
        </w:rPr>
        <w:t xml:space="preserve"> </w:t>
      </w:r>
      <w:proofErr w:type="spellStart"/>
      <w:r w:rsidRPr="00D659DD">
        <w:rPr>
          <w:szCs w:val="24"/>
        </w:rPr>
        <w:t>proračunskim</w:t>
      </w:r>
      <w:proofErr w:type="spellEnd"/>
      <w:r w:rsidRPr="00D659DD">
        <w:rPr>
          <w:szCs w:val="24"/>
        </w:rPr>
        <w:t xml:space="preserve"> </w:t>
      </w:r>
      <w:proofErr w:type="spellStart"/>
      <w:r w:rsidRPr="00D659DD">
        <w:rPr>
          <w:szCs w:val="24"/>
        </w:rPr>
        <w:t>korisnicima</w:t>
      </w:r>
      <w:proofErr w:type="spellEnd"/>
      <w:r w:rsidRPr="00D659DD">
        <w:rPr>
          <w:szCs w:val="24"/>
        </w:rPr>
        <w:t xml:space="preserve"> u </w:t>
      </w:r>
      <w:proofErr w:type="spellStart"/>
      <w:r w:rsidRPr="00D659DD">
        <w:rPr>
          <w:szCs w:val="24"/>
        </w:rPr>
        <w:t>visini</w:t>
      </w:r>
      <w:proofErr w:type="spellEnd"/>
      <w:r w:rsidRPr="00D659DD">
        <w:rPr>
          <w:szCs w:val="24"/>
        </w:rPr>
        <w:t xml:space="preserve"> 851.750,54 EUR se </w:t>
      </w:r>
      <w:proofErr w:type="spellStart"/>
      <w:r w:rsidRPr="00D659DD">
        <w:rPr>
          <w:szCs w:val="24"/>
        </w:rPr>
        <w:t>odnose</w:t>
      </w:r>
      <w:proofErr w:type="spellEnd"/>
      <w:r w:rsidRPr="00D659DD">
        <w:rPr>
          <w:szCs w:val="24"/>
        </w:rPr>
        <w:t xml:space="preserve"> </w:t>
      </w:r>
      <w:proofErr w:type="spellStart"/>
      <w:r w:rsidRPr="00D659DD">
        <w:rPr>
          <w:szCs w:val="24"/>
        </w:rPr>
        <w:t>na</w:t>
      </w:r>
      <w:proofErr w:type="spellEnd"/>
      <w:r w:rsidRPr="00D659DD">
        <w:rPr>
          <w:szCs w:val="24"/>
        </w:rPr>
        <w:t xml:space="preserve"> </w:t>
      </w:r>
      <w:proofErr w:type="spellStart"/>
      <w:r w:rsidRPr="00D659DD">
        <w:rPr>
          <w:szCs w:val="24"/>
        </w:rPr>
        <w:t>obveze</w:t>
      </w:r>
      <w:proofErr w:type="spellEnd"/>
      <w:r w:rsidRPr="00D659DD">
        <w:rPr>
          <w:szCs w:val="24"/>
        </w:rPr>
        <w:t xml:space="preserve"> </w:t>
      </w:r>
      <w:proofErr w:type="spellStart"/>
      <w:r w:rsidRPr="00D659DD">
        <w:rPr>
          <w:szCs w:val="24"/>
        </w:rPr>
        <w:t>prema</w:t>
      </w:r>
      <w:proofErr w:type="spellEnd"/>
      <w:r w:rsidRPr="00D659DD">
        <w:rPr>
          <w:szCs w:val="24"/>
        </w:rPr>
        <w:t xml:space="preserve"> </w:t>
      </w:r>
      <w:proofErr w:type="spellStart"/>
      <w:r w:rsidRPr="00D659DD">
        <w:rPr>
          <w:szCs w:val="24"/>
        </w:rPr>
        <w:t>Sveučilištu</w:t>
      </w:r>
      <w:proofErr w:type="spellEnd"/>
      <w:r w:rsidRPr="00D659DD">
        <w:rPr>
          <w:szCs w:val="24"/>
        </w:rPr>
        <w:t xml:space="preserve"> u </w:t>
      </w:r>
      <w:proofErr w:type="spellStart"/>
      <w:r w:rsidRPr="00D659DD">
        <w:rPr>
          <w:szCs w:val="24"/>
        </w:rPr>
        <w:t>Splitu</w:t>
      </w:r>
      <w:proofErr w:type="spellEnd"/>
      <w:r w:rsidRPr="00D659DD">
        <w:rPr>
          <w:szCs w:val="24"/>
        </w:rPr>
        <w:t xml:space="preserve"> u </w:t>
      </w:r>
      <w:proofErr w:type="spellStart"/>
      <w:r w:rsidRPr="00D659DD">
        <w:rPr>
          <w:szCs w:val="24"/>
        </w:rPr>
        <w:t>visini</w:t>
      </w:r>
      <w:proofErr w:type="spellEnd"/>
      <w:r w:rsidRPr="00D659DD">
        <w:rPr>
          <w:szCs w:val="24"/>
        </w:rPr>
        <w:t xml:space="preserve"> 849.436,13 EUR </w:t>
      </w:r>
      <w:proofErr w:type="spellStart"/>
      <w:r w:rsidRPr="00D659DD">
        <w:rPr>
          <w:szCs w:val="24"/>
        </w:rPr>
        <w:t>dok</w:t>
      </w:r>
      <w:proofErr w:type="spellEnd"/>
      <w:r w:rsidRPr="00D659DD">
        <w:rPr>
          <w:szCs w:val="24"/>
        </w:rPr>
        <w:t xml:space="preserve"> se 2.314,41 EUR </w:t>
      </w:r>
      <w:proofErr w:type="spellStart"/>
      <w:r w:rsidRPr="00D659DD">
        <w:rPr>
          <w:szCs w:val="24"/>
        </w:rPr>
        <w:t>odnosi</w:t>
      </w:r>
      <w:proofErr w:type="spellEnd"/>
      <w:r w:rsidRPr="00D659DD">
        <w:rPr>
          <w:szCs w:val="24"/>
        </w:rPr>
        <w:t xml:space="preserve"> </w:t>
      </w:r>
      <w:proofErr w:type="spellStart"/>
      <w:r w:rsidRPr="00D659DD">
        <w:rPr>
          <w:szCs w:val="24"/>
        </w:rPr>
        <w:t>na</w:t>
      </w:r>
      <w:proofErr w:type="spellEnd"/>
      <w:r w:rsidRPr="00D659DD">
        <w:rPr>
          <w:szCs w:val="24"/>
        </w:rPr>
        <w:t xml:space="preserve"> </w:t>
      </w:r>
      <w:proofErr w:type="spellStart"/>
      <w:r w:rsidRPr="00D659DD">
        <w:rPr>
          <w:szCs w:val="24"/>
        </w:rPr>
        <w:t>obveze</w:t>
      </w:r>
      <w:proofErr w:type="spellEnd"/>
      <w:r w:rsidRPr="00D659DD">
        <w:rPr>
          <w:szCs w:val="24"/>
        </w:rPr>
        <w:t xml:space="preserve"> </w:t>
      </w:r>
      <w:proofErr w:type="spellStart"/>
      <w:r w:rsidRPr="00D659DD">
        <w:rPr>
          <w:szCs w:val="24"/>
        </w:rPr>
        <w:t>prema</w:t>
      </w:r>
      <w:proofErr w:type="spellEnd"/>
      <w:r w:rsidRPr="00D659DD">
        <w:rPr>
          <w:szCs w:val="24"/>
        </w:rPr>
        <w:t xml:space="preserve"> </w:t>
      </w:r>
      <w:proofErr w:type="spellStart"/>
      <w:r w:rsidRPr="00D659DD">
        <w:rPr>
          <w:szCs w:val="24"/>
        </w:rPr>
        <w:t>Kliničkoj</w:t>
      </w:r>
      <w:proofErr w:type="spellEnd"/>
      <w:r w:rsidRPr="00D659DD">
        <w:rPr>
          <w:szCs w:val="24"/>
        </w:rPr>
        <w:t xml:space="preserve"> </w:t>
      </w:r>
      <w:proofErr w:type="spellStart"/>
      <w:r w:rsidRPr="00D659DD">
        <w:rPr>
          <w:szCs w:val="24"/>
        </w:rPr>
        <w:t>bolnici</w:t>
      </w:r>
      <w:proofErr w:type="spellEnd"/>
      <w:r w:rsidRPr="00D659DD">
        <w:rPr>
          <w:szCs w:val="24"/>
        </w:rPr>
        <w:t xml:space="preserve"> u </w:t>
      </w:r>
      <w:proofErr w:type="spellStart"/>
      <w:r w:rsidRPr="00D659DD">
        <w:rPr>
          <w:szCs w:val="24"/>
        </w:rPr>
        <w:t>Splitu</w:t>
      </w:r>
      <w:proofErr w:type="spellEnd"/>
      <w:r w:rsidRPr="00D659DD">
        <w:rPr>
          <w:szCs w:val="24"/>
        </w:rPr>
        <w:t>.</w:t>
      </w:r>
    </w:p>
    <w:p w:rsidR="00C160F9" w:rsidRPr="00D659DD" w:rsidRDefault="00C160F9" w:rsidP="00C160F9">
      <w:pPr>
        <w:pStyle w:val="BodyText"/>
        <w:tabs>
          <w:tab w:val="left" w:pos="142"/>
          <w:tab w:val="left" w:pos="426"/>
        </w:tabs>
        <w:ind w:right="44"/>
        <w:jc w:val="both"/>
        <w:rPr>
          <w:rFonts w:eastAsiaTheme="minorHAnsi"/>
          <w:szCs w:val="24"/>
          <w:lang w:val="hr-HR"/>
        </w:rPr>
      </w:pPr>
      <w:proofErr w:type="spellStart"/>
      <w:r w:rsidRPr="00D659DD">
        <w:rPr>
          <w:szCs w:val="24"/>
        </w:rPr>
        <w:t>Iznos</w:t>
      </w:r>
      <w:proofErr w:type="spellEnd"/>
      <w:r w:rsidRPr="00D659DD">
        <w:rPr>
          <w:szCs w:val="24"/>
        </w:rPr>
        <w:t xml:space="preserve"> </w:t>
      </w:r>
      <w:proofErr w:type="spellStart"/>
      <w:r w:rsidRPr="00D659DD">
        <w:rPr>
          <w:szCs w:val="24"/>
        </w:rPr>
        <w:t>dospjelih</w:t>
      </w:r>
      <w:proofErr w:type="spellEnd"/>
      <w:r w:rsidRPr="00D659DD">
        <w:rPr>
          <w:szCs w:val="24"/>
        </w:rPr>
        <w:t xml:space="preserve"> </w:t>
      </w:r>
      <w:proofErr w:type="spellStart"/>
      <w:r w:rsidRPr="00D659DD">
        <w:rPr>
          <w:szCs w:val="24"/>
        </w:rPr>
        <w:t>obveza</w:t>
      </w:r>
      <w:proofErr w:type="spellEnd"/>
      <w:r w:rsidRPr="00D659DD">
        <w:rPr>
          <w:szCs w:val="24"/>
        </w:rPr>
        <w:t xml:space="preserve"> </w:t>
      </w:r>
      <w:proofErr w:type="spellStart"/>
      <w:r w:rsidRPr="00D659DD">
        <w:rPr>
          <w:szCs w:val="24"/>
        </w:rPr>
        <w:t>prema</w:t>
      </w:r>
      <w:proofErr w:type="spellEnd"/>
      <w:r w:rsidRPr="00D659DD">
        <w:rPr>
          <w:szCs w:val="24"/>
        </w:rPr>
        <w:t xml:space="preserve"> </w:t>
      </w:r>
      <w:proofErr w:type="spellStart"/>
      <w:r w:rsidRPr="00D659DD">
        <w:rPr>
          <w:szCs w:val="24"/>
        </w:rPr>
        <w:t>Sveučilištu</w:t>
      </w:r>
      <w:proofErr w:type="spellEnd"/>
      <w:r w:rsidRPr="00D659DD">
        <w:rPr>
          <w:szCs w:val="24"/>
        </w:rPr>
        <w:t xml:space="preserve"> u </w:t>
      </w:r>
      <w:proofErr w:type="spellStart"/>
      <w:r w:rsidRPr="00D659DD">
        <w:rPr>
          <w:szCs w:val="24"/>
        </w:rPr>
        <w:t>Splitu</w:t>
      </w:r>
      <w:proofErr w:type="spellEnd"/>
      <w:r w:rsidRPr="00D659DD">
        <w:rPr>
          <w:szCs w:val="24"/>
        </w:rPr>
        <w:t xml:space="preserve"> se </w:t>
      </w:r>
      <w:proofErr w:type="spellStart"/>
      <w:r w:rsidRPr="00D659DD">
        <w:rPr>
          <w:szCs w:val="24"/>
        </w:rPr>
        <w:t>odnosi</w:t>
      </w:r>
      <w:proofErr w:type="spellEnd"/>
      <w:r w:rsidRPr="00D659DD">
        <w:rPr>
          <w:szCs w:val="24"/>
        </w:rPr>
        <w:t xml:space="preserve"> </w:t>
      </w:r>
      <w:proofErr w:type="spellStart"/>
      <w:r w:rsidRPr="00D659DD">
        <w:rPr>
          <w:szCs w:val="24"/>
        </w:rPr>
        <w:t>na</w:t>
      </w:r>
      <w:proofErr w:type="spellEnd"/>
      <w:r w:rsidRPr="00D659DD">
        <w:rPr>
          <w:szCs w:val="24"/>
        </w:rPr>
        <w:t xml:space="preserve"> </w:t>
      </w:r>
      <w:proofErr w:type="spellStart"/>
      <w:r w:rsidRPr="00D659DD">
        <w:rPr>
          <w:szCs w:val="24"/>
        </w:rPr>
        <w:t>obračunate</w:t>
      </w:r>
      <w:proofErr w:type="spellEnd"/>
      <w:r w:rsidRPr="00D659DD">
        <w:rPr>
          <w:szCs w:val="24"/>
        </w:rPr>
        <w:t xml:space="preserve"> </w:t>
      </w:r>
      <w:proofErr w:type="spellStart"/>
      <w:r w:rsidRPr="00D659DD">
        <w:rPr>
          <w:szCs w:val="24"/>
        </w:rPr>
        <w:t>obveze</w:t>
      </w:r>
      <w:proofErr w:type="spellEnd"/>
      <w:r w:rsidRPr="00D659DD">
        <w:rPr>
          <w:szCs w:val="24"/>
        </w:rPr>
        <w:t xml:space="preserve"> </w:t>
      </w:r>
      <w:r w:rsidRPr="00D659DD">
        <w:rPr>
          <w:rFonts w:eastAsiaTheme="minorHAnsi"/>
          <w:szCs w:val="24"/>
          <w:lang w:val="hr-HR"/>
        </w:rPr>
        <w:t>u visini 15% od školarina studija Medicina na engleskom jeziku za ak. godinu 2020/2021. (dio) za ak. godinu 2021/2022 te za ak. godinu 2022/2023. S obzirom da se radi o visokim iznosima koje značajno utječu na likvidnost Fakulteta, sa Sveučilištem je dogovoreno da će se postojeća obveza plaćati u tranšama prema financijskim mogućnostima Fakulteta. Tijekom 2023. godine Sveučilištu je uplaćeno 212.979,22 EUR po ovoj osnovi.</w:t>
      </w:r>
    </w:p>
    <w:p w:rsidR="00C160F9" w:rsidRPr="00D659DD" w:rsidRDefault="00D659DD" w:rsidP="00C160F9">
      <w:pPr>
        <w:pStyle w:val="BodyText"/>
        <w:tabs>
          <w:tab w:val="left" w:pos="142"/>
          <w:tab w:val="left" w:pos="426"/>
        </w:tabs>
        <w:ind w:right="44"/>
        <w:jc w:val="both"/>
        <w:rPr>
          <w:rFonts w:eastAsiaTheme="minorHAnsi"/>
          <w:szCs w:val="24"/>
          <w:lang w:val="hr-HR"/>
        </w:rPr>
      </w:pPr>
      <w:proofErr w:type="spellStart"/>
      <w:r w:rsidRPr="00D659DD">
        <w:rPr>
          <w:szCs w:val="24"/>
        </w:rPr>
        <w:t>Obveze</w:t>
      </w:r>
      <w:proofErr w:type="spellEnd"/>
      <w:r w:rsidRPr="00D659DD">
        <w:rPr>
          <w:szCs w:val="24"/>
        </w:rPr>
        <w:t xml:space="preserve"> </w:t>
      </w:r>
      <w:proofErr w:type="spellStart"/>
      <w:r w:rsidRPr="00D659DD">
        <w:rPr>
          <w:szCs w:val="24"/>
        </w:rPr>
        <w:t>prema</w:t>
      </w:r>
      <w:proofErr w:type="spellEnd"/>
      <w:r w:rsidRPr="00D659DD">
        <w:rPr>
          <w:szCs w:val="24"/>
        </w:rPr>
        <w:t xml:space="preserve"> KBC-u Split se </w:t>
      </w:r>
      <w:proofErr w:type="spellStart"/>
      <w:r w:rsidRPr="00D659DD">
        <w:rPr>
          <w:szCs w:val="24"/>
        </w:rPr>
        <w:t>podmiruju</w:t>
      </w:r>
      <w:proofErr w:type="spellEnd"/>
      <w:r w:rsidRPr="00D659DD">
        <w:rPr>
          <w:szCs w:val="24"/>
        </w:rPr>
        <w:t xml:space="preserve"> </w:t>
      </w:r>
      <w:proofErr w:type="spellStart"/>
      <w:r w:rsidRPr="00D659DD">
        <w:rPr>
          <w:szCs w:val="24"/>
        </w:rPr>
        <w:t>prijebojem</w:t>
      </w:r>
      <w:proofErr w:type="spellEnd"/>
      <w:r w:rsidRPr="00D659DD">
        <w:rPr>
          <w:szCs w:val="24"/>
        </w:rPr>
        <w:t xml:space="preserve"> </w:t>
      </w:r>
      <w:proofErr w:type="spellStart"/>
      <w:r w:rsidRPr="00D659DD">
        <w:rPr>
          <w:szCs w:val="24"/>
        </w:rPr>
        <w:t>temeljem</w:t>
      </w:r>
      <w:proofErr w:type="spellEnd"/>
      <w:r w:rsidRPr="00D659DD">
        <w:rPr>
          <w:szCs w:val="24"/>
        </w:rPr>
        <w:t xml:space="preserve"> </w:t>
      </w:r>
      <w:proofErr w:type="spellStart"/>
      <w:r w:rsidRPr="00D659DD">
        <w:rPr>
          <w:szCs w:val="24"/>
        </w:rPr>
        <w:t>računa</w:t>
      </w:r>
      <w:proofErr w:type="spellEnd"/>
      <w:r w:rsidRPr="00D659DD">
        <w:rPr>
          <w:szCs w:val="24"/>
        </w:rPr>
        <w:t xml:space="preserve"> za </w:t>
      </w:r>
      <w:proofErr w:type="spellStart"/>
      <w:r w:rsidRPr="00D659DD">
        <w:rPr>
          <w:szCs w:val="24"/>
        </w:rPr>
        <w:t>usluge</w:t>
      </w:r>
      <w:proofErr w:type="spellEnd"/>
      <w:r w:rsidRPr="00D659DD">
        <w:rPr>
          <w:szCs w:val="24"/>
        </w:rPr>
        <w:t xml:space="preserve"> </w:t>
      </w:r>
      <w:proofErr w:type="spellStart"/>
      <w:r w:rsidRPr="00D659DD">
        <w:rPr>
          <w:szCs w:val="24"/>
        </w:rPr>
        <w:t>i</w:t>
      </w:r>
      <w:proofErr w:type="spellEnd"/>
      <w:r w:rsidRPr="00D659DD">
        <w:rPr>
          <w:szCs w:val="24"/>
        </w:rPr>
        <w:t xml:space="preserve"> </w:t>
      </w:r>
      <w:proofErr w:type="spellStart"/>
      <w:r w:rsidRPr="00D659DD">
        <w:rPr>
          <w:szCs w:val="24"/>
        </w:rPr>
        <w:t>školarina</w:t>
      </w:r>
      <w:proofErr w:type="spellEnd"/>
      <w:r w:rsidRPr="00D659DD">
        <w:rPr>
          <w:szCs w:val="24"/>
        </w:rPr>
        <w:t xml:space="preserve"> </w:t>
      </w:r>
      <w:proofErr w:type="spellStart"/>
      <w:r w:rsidRPr="00D659DD">
        <w:rPr>
          <w:szCs w:val="24"/>
        </w:rPr>
        <w:t>koje</w:t>
      </w:r>
      <w:proofErr w:type="spellEnd"/>
      <w:r w:rsidRPr="00D659DD">
        <w:rPr>
          <w:szCs w:val="24"/>
        </w:rPr>
        <w:t xml:space="preserve"> </w:t>
      </w:r>
      <w:proofErr w:type="spellStart"/>
      <w:r w:rsidRPr="00D659DD">
        <w:rPr>
          <w:szCs w:val="24"/>
        </w:rPr>
        <w:t>Fakultet</w:t>
      </w:r>
      <w:proofErr w:type="spellEnd"/>
      <w:r w:rsidRPr="00D659DD">
        <w:rPr>
          <w:szCs w:val="24"/>
        </w:rPr>
        <w:t xml:space="preserve"> </w:t>
      </w:r>
      <w:proofErr w:type="spellStart"/>
      <w:r w:rsidRPr="00D659DD">
        <w:rPr>
          <w:szCs w:val="24"/>
        </w:rPr>
        <w:t>fakturira</w:t>
      </w:r>
      <w:proofErr w:type="spellEnd"/>
      <w:r w:rsidRPr="00D659DD">
        <w:rPr>
          <w:szCs w:val="24"/>
        </w:rPr>
        <w:t xml:space="preserve"> KBC-u </w:t>
      </w:r>
      <w:r w:rsidR="00C160F9" w:rsidRPr="00D659DD">
        <w:rPr>
          <w:rFonts w:eastAsiaTheme="minorHAnsi"/>
          <w:szCs w:val="24"/>
          <w:lang w:val="hr-HR"/>
        </w:rPr>
        <w:t>te kod njih nema značajnijeg kašnjenja.</w:t>
      </w:r>
    </w:p>
    <w:p w:rsidR="00F35176" w:rsidRDefault="00F35176" w:rsidP="000D4AC3">
      <w:pPr>
        <w:spacing w:line="240" w:lineRule="auto"/>
        <w:jc w:val="both"/>
        <w:rPr>
          <w:rFonts w:ascii="Times New Roman" w:hAnsi="Times New Roman" w:cs="Times New Roman"/>
          <w:b/>
          <w:sz w:val="24"/>
          <w:szCs w:val="24"/>
        </w:rPr>
      </w:pPr>
    </w:p>
    <w:p w:rsidR="006F3737" w:rsidRDefault="00F35176" w:rsidP="00F35176">
      <w:pPr>
        <w:ind w:left="38" w:right="192"/>
        <w:jc w:val="center"/>
        <w:rPr>
          <w:noProof/>
        </w:rPr>
      </w:pPr>
      <w:r>
        <w:rPr>
          <w:noProof/>
        </w:rPr>
        <w:t xml:space="preserve">                                                                                </w:t>
      </w:r>
    </w:p>
    <w:p w:rsidR="00F35176" w:rsidRDefault="006F3737" w:rsidP="00F35176">
      <w:pPr>
        <w:ind w:left="38" w:right="192"/>
        <w:jc w:val="center"/>
        <w:rPr>
          <w:rFonts w:ascii="Times New Roman" w:hAnsi="Times New Roman" w:cs="Times New Roman"/>
          <w:noProof/>
          <w:sz w:val="24"/>
          <w:szCs w:val="24"/>
        </w:rPr>
      </w:pPr>
      <w:r>
        <w:rPr>
          <w:rFonts w:ascii="Times New Roman" w:hAnsi="Times New Roman" w:cs="Times New Roman"/>
          <w:noProof/>
          <w:sz w:val="24"/>
          <w:szCs w:val="24"/>
        </w:rPr>
        <w:t xml:space="preserve">                                                                                 </w:t>
      </w:r>
      <w:bookmarkStart w:id="0" w:name="_GoBack"/>
      <w:bookmarkEnd w:id="0"/>
      <w:r w:rsidR="00F35176" w:rsidRPr="00F35176">
        <w:rPr>
          <w:rFonts w:ascii="Times New Roman" w:hAnsi="Times New Roman" w:cs="Times New Roman"/>
          <w:noProof/>
          <w:sz w:val="24"/>
          <w:szCs w:val="24"/>
        </w:rPr>
        <w:t>DEKAN:</w:t>
      </w:r>
    </w:p>
    <w:p w:rsidR="00362A71" w:rsidRDefault="00362A71" w:rsidP="002C1390">
      <w:pPr>
        <w:ind w:left="38" w:right="192"/>
        <w:jc w:val="center"/>
        <w:rPr>
          <w:rFonts w:ascii="Times New Roman" w:hAnsi="Times New Roman" w:cs="Times New Roman"/>
          <w:noProof/>
          <w:sz w:val="24"/>
          <w:szCs w:val="24"/>
        </w:rPr>
      </w:pPr>
    </w:p>
    <w:p w:rsidR="00F35176" w:rsidRPr="00D16BF9" w:rsidRDefault="00F35176" w:rsidP="002C1390">
      <w:pPr>
        <w:ind w:left="38" w:right="192"/>
        <w:jc w:val="center"/>
        <w:rPr>
          <w:rFonts w:ascii="Times New Roman" w:hAnsi="Times New Roman" w:cs="Times New Roman"/>
          <w:b/>
          <w:sz w:val="24"/>
          <w:szCs w:val="24"/>
        </w:rPr>
      </w:pPr>
      <w:r w:rsidRPr="00F35176">
        <w:rPr>
          <w:rFonts w:ascii="Times New Roman" w:hAnsi="Times New Roman" w:cs="Times New Roman"/>
          <w:noProof/>
          <w:sz w:val="24"/>
          <w:szCs w:val="24"/>
        </w:rPr>
        <w:t xml:space="preserve">                                                                                    Prof. dr. sc. Ante Tonkić</w:t>
      </w:r>
    </w:p>
    <w:sectPr w:rsidR="00F35176" w:rsidRPr="00D16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CE4"/>
    <w:multiLevelType w:val="hybridMultilevel"/>
    <w:tmpl w:val="47FE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41F37"/>
    <w:multiLevelType w:val="hybridMultilevel"/>
    <w:tmpl w:val="C950B578"/>
    <w:lvl w:ilvl="0" w:tplc="09427E60">
      <w:start w:val="3"/>
      <w:numFmt w:val="decimal"/>
      <w:lvlText w:val="%1."/>
      <w:lvlJc w:val="left"/>
      <w:pPr>
        <w:ind w:left="780" w:hanging="36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28C799E"/>
    <w:multiLevelType w:val="hybridMultilevel"/>
    <w:tmpl w:val="58B8FACC"/>
    <w:lvl w:ilvl="0" w:tplc="286E5A26">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8B07BE8"/>
    <w:multiLevelType w:val="hybridMultilevel"/>
    <w:tmpl w:val="3D7C29B2"/>
    <w:lvl w:ilvl="0" w:tplc="15A607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75075"/>
    <w:multiLevelType w:val="hybridMultilevel"/>
    <w:tmpl w:val="9866F0FE"/>
    <w:lvl w:ilvl="0" w:tplc="06C64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CF4AE">
      <w:start w:val="2"/>
      <w:numFmt w:val="decimal"/>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E8C0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CE162">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ACDA0">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E6DA6">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E512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41404">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25E5E">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1C"/>
    <w:rsid w:val="0000408D"/>
    <w:rsid w:val="00005FAA"/>
    <w:rsid w:val="00017583"/>
    <w:rsid w:val="00025F54"/>
    <w:rsid w:val="00030383"/>
    <w:rsid w:val="00034226"/>
    <w:rsid w:val="0003464E"/>
    <w:rsid w:val="000358B1"/>
    <w:rsid w:val="000465B7"/>
    <w:rsid w:val="00061A4D"/>
    <w:rsid w:val="000A0D17"/>
    <w:rsid w:val="000A1A2E"/>
    <w:rsid w:val="000A2352"/>
    <w:rsid w:val="000B134B"/>
    <w:rsid w:val="000B155F"/>
    <w:rsid w:val="000D0A1C"/>
    <w:rsid w:val="000D20C9"/>
    <w:rsid w:val="000D491F"/>
    <w:rsid w:val="000D4AC3"/>
    <w:rsid w:val="001102F9"/>
    <w:rsid w:val="00143083"/>
    <w:rsid w:val="00144A2B"/>
    <w:rsid w:val="0016712B"/>
    <w:rsid w:val="001759AB"/>
    <w:rsid w:val="001813C2"/>
    <w:rsid w:val="00186B7B"/>
    <w:rsid w:val="001C2688"/>
    <w:rsid w:val="001E332A"/>
    <w:rsid w:val="001F3085"/>
    <w:rsid w:val="0020237C"/>
    <w:rsid w:val="002052E4"/>
    <w:rsid w:val="0020638B"/>
    <w:rsid w:val="00225AFE"/>
    <w:rsid w:val="002334D2"/>
    <w:rsid w:val="00245B1D"/>
    <w:rsid w:val="0029735D"/>
    <w:rsid w:val="00297F7A"/>
    <w:rsid w:val="002B2C1E"/>
    <w:rsid w:val="002B6A5F"/>
    <w:rsid w:val="002C1390"/>
    <w:rsid w:val="002C75E1"/>
    <w:rsid w:val="002D4BD7"/>
    <w:rsid w:val="002F01FA"/>
    <w:rsid w:val="002F47B3"/>
    <w:rsid w:val="00310E1F"/>
    <w:rsid w:val="003268E9"/>
    <w:rsid w:val="00331A8F"/>
    <w:rsid w:val="00340357"/>
    <w:rsid w:val="00344DB4"/>
    <w:rsid w:val="00362A71"/>
    <w:rsid w:val="0038498E"/>
    <w:rsid w:val="00395EE2"/>
    <w:rsid w:val="003A22DB"/>
    <w:rsid w:val="003A476B"/>
    <w:rsid w:val="003B1BDF"/>
    <w:rsid w:val="003D43B7"/>
    <w:rsid w:val="003F3193"/>
    <w:rsid w:val="003F3E21"/>
    <w:rsid w:val="00407290"/>
    <w:rsid w:val="00420463"/>
    <w:rsid w:val="00466878"/>
    <w:rsid w:val="00470700"/>
    <w:rsid w:val="00477211"/>
    <w:rsid w:val="00484DC2"/>
    <w:rsid w:val="004A0ED1"/>
    <w:rsid w:val="004A6A92"/>
    <w:rsid w:val="004A7709"/>
    <w:rsid w:val="004B118E"/>
    <w:rsid w:val="004F64F9"/>
    <w:rsid w:val="004F670F"/>
    <w:rsid w:val="004F78E8"/>
    <w:rsid w:val="00506AF8"/>
    <w:rsid w:val="005166A7"/>
    <w:rsid w:val="005610C1"/>
    <w:rsid w:val="0056668E"/>
    <w:rsid w:val="00567DAF"/>
    <w:rsid w:val="00567F55"/>
    <w:rsid w:val="005722A3"/>
    <w:rsid w:val="00580A91"/>
    <w:rsid w:val="005B26B0"/>
    <w:rsid w:val="005C1418"/>
    <w:rsid w:val="005E3B8B"/>
    <w:rsid w:val="00600C7F"/>
    <w:rsid w:val="00600F3A"/>
    <w:rsid w:val="00601981"/>
    <w:rsid w:val="00605080"/>
    <w:rsid w:val="0061016D"/>
    <w:rsid w:val="00624C16"/>
    <w:rsid w:val="00630C67"/>
    <w:rsid w:val="006423E7"/>
    <w:rsid w:val="00643CDA"/>
    <w:rsid w:val="0065546E"/>
    <w:rsid w:val="00660C52"/>
    <w:rsid w:val="00662506"/>
    <w:rsid w:val="00685434"/>
    <w:rsid w:val="00691A0F"/>
    <w:rsid w:val="0069577C"/>
    <w:rsid w:val="006B5C8D"/>
    <w:rsid w:val="006C6845"/>
    <w:rsid w:val="006E12EC"/>
    <w:rsid w:val="006F1E4A"/>
    <w:rsid w:val="006F1F9B"/>
    <w:rsid w:val="006F3737"/>
    <w:rsid w:val="00715B13"/>
    <w:rsid w:val="0072334A"/>
    <w:rsid w:val="007258A1"/>
    <w:rsid w:val="00740029"/>
    <w:rsid w:val="00742DD7"/>
    <w:rsid w:val="00757F9F"/>
    <w:rsid w:val="007A07B1"/>
    <w:rsid w:val="007C2F59"/>
    <w:rsid w:val="007E77E0"/>
    <w:rsid w:val="007F0C19"/>
    <w:rsid w:val="007F339C"/>
    <w:rsid w:val="007F4DE1"/>
    <w:rsid w:val="00804DF3"/>
    <w:rsid w:val="0081432C"/>
    <w:rsid w:val="008436FE"/>
    <w:rsid w:val="008524C5"/>
    <w:rsid w:val="00852812"/>
    <w:rsid w:val="00875587"/>
    <w:rsid w:val="00886D68"/>
    <w:rsid w:val="008D685C"/>
    <w:rsid w:val="008F2499"/>
    <w:rsid w:val="008F56FB"/>
    <w:rsid w:val="0090661F"/>
    <w:rsid w:val="00923723"/>
    <w:rsid w:val="009256FD"/>
    <w:rsid w:val="00933901"/>
    <w:rsid w:val="0094274B"/>
    <w:rsid w:val="009541D4"/>
    <w:rsid w:val="00955BA8"/>
    <w:rsid w:val="009576D6"/>
    <w:rsid w:val="00966A7C"/>
    <w:rsid w:val="009742B0"/>
    <w:rsid w:val="00975BA7"/>
    <w:rsid w:val="009B6330"/>
    <w:rsid w:val="009D7CA0"/>
    <w:rsid w:val="009E0296"/>
    <w:rsid w:val="009E478A"/>
    <w:rsid w:val="009F002F"/>
    <w:rsid w:val="00A056FF"/>
    <w:rsid w:val="00A27FC7"/>
    <w:rsid w:val="00A7057D"/>
    <w:rsid w:val="00A81565"/>
    <w:rsid w:val="00A84B63"/>
    <w:rsid w:val="00A8762C"/>
    <w:rsid w:val="00A925E1"/>
    <w:rsid w:val="00A94E94"/>
    <w:rsid w:val="00AB00F0"/>
    <w:rsid w:val="00AC288F"/>
    <w:rsid w:val="00AC3E27"/>
    <w:rsid w:val="00AD1A68"/>
    <w:rsid w:val="00AE2812"/>
    <w:rsid w:val="00AE6400"/>
    <w:rsid w:val="00AE69C1"/>
    <w:rsid w:val="00AF4B88"/>
    <w:rsid w:val="00B25C63"/>
    <w:rsid w:val="00B326AF"/>
    <w:rsid w:val="00B449A0"/>
    <w:rsid w:val="00B633FC"/>
    <w:rsid w:val="00B7793B"/>
    <w:rsid w:val="00B77C9B"/>
    <w:rsid w:val="00B823A7"/>
    <w:rsid w:val="00BA0284"/>
    <w:rsid w:val="00BA592E"/>
    <w:rsid w:val="00BC2554"/>
    <w:rsid w:val="00BC7550"/>
    <w:rsid w:val="00BD6DFD"/>
    <w:rsid w:val="00BE3334"/>
    <w:rsid w:val="00BE3467"/>
    <w:rsid w:val="00BF434F"/>
    <w:rsid w:val="00BF44C6"/>
    <w:rsid w:val="00C12D8A"/>
    <w:rsid w:val="00C1476B"/>
    <w:rsid w:val="00C160F9"/>
    <w:rsid w:val="00C26489"/>
    <w:rsid w:val="00C352C1"/>
    <w:rsid w:val="00C55B45"/>
    <w:rsid w:val="00C83493"/>
    <w:rsid w:val="00C94FAE"/>
    <w:rsid w:val="00CA12E2"/>
    <w:rsid w:val="00CB596E"/>
    <w:rsid w:val="00CC0C1E"/>
    <w:rsid w:val="00CD1810"/>
    <w:rsid w:val="00D00A5D"/>
    <w:rsid w:val="00D019AB"/>
    <w:rsid w:val="00D02DFD"/>
    <w:rsid w:val="00D061DA"/>
    <w:rsid w:val="00D0796D"/>
    <w:rsid w:val="00D1321D"/>
    <w:rsid w:val="00D16BF9"/>
    <w:rsid w:val="00D350E8"/>
    <w:rsid w:val="00D464EC"/>
    <w:rsid w:val="00D545E6"/>
    <w:rsid w:val="00D57ED6"/>
    <w:rsid w:val="00D63EC9"/>
    <w:rsid w:val="00D659DD"/>
    <w:rsid w:val="00D673BA"/>
    <w:rsid w:val="00D81CC3"/>
    <w:rsid w:val="00D87A52"/>
    <w:rsid w:val="00DA4CF1"/>
    <w:rsid w:val="00DB632E"/>
    <w:rsid w:val="00DC5BFB"/>
    <w:rsid w:val="00DD2586"/>
    <w:rsid w:val="00DF686D"/>
    <w:rsid w:val="00DF778D"/>
    <w:rsid w:val="00DF7C95"/>
    <w:rsid w:val="00E02259"/>
    <w:rsid w:val="00E1555C"/>
    <w:rsid w:val="00E15623"/>
    <w:rsid w:val="00E15DF0"/>
    <w:rsid w:val="00E2770A"/>
    <w:rsid w:val="00E34EA9"/>
    <w:rsid w:val="00E44EDA"/>
    <w:rsid w:val="00E4562C"/>
    <w:rsid w:val="00E6162A"/>
    <w:rsid w:val="00E61B24"/>
    <w:rsid w:val="00E65017"/>
    <w:rsid w:val="00E74D93"/>
    <w:rsid w:val="00E76387"/>
    <w:rsid w:val="00E95803"/>
    <w:rsid w:val="00E9714D"/>
    <w:rsid w:val="00EB5DBF"/>
    <w:rsid w:val="00ED5C6A"/>
    <w:rsid w:val="00F01CFD"/>
    <w:rsid w:val="00F14325"/>
    <w:rsid w:val="00F16271"/>
    <w:rsid w:val="00F30755"/>
    <w:rsid w:val="00F35176"/>
    <w:rsid w:val="00F44C4D"/>
    <w:rsid w:val="00F46B91"/>
    <w:rsid w:val="00F471E7"/>
    <w:rsid w:val="00F51905"/>
    <w:rsid w:val="00F5598E"/>
    <w:rsid w:val="00F70550"/>
    <w:rsid w:val="00F7685D"/>
    <w:rsid w:val="00F8704C"/>
    <w:rsid w:val="00F92CDA"/>
    <w:rsid w:val="00FA1606"/>
    <w:rsid w:val="00FA5395"/>
    <w:rsid w:val="00FD1B43"/>
    <w:rsid w:val="00FD5AEE"/>
    <w:rsid w:val="00FE2D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0D29"/>
  <w15:chartTrackingRefBased/>
  <w15:docId w15:val="{1E9B1B47-3560-4932-BAAB-B450A5E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3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33901"/>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933901"/>
    <w:pPr>
      <w:spacing w:after="0"/>
      <w:ind w:left="720"/>
      <w:contextualSpacing/>
    </w:pPr>
    <w:rPr>
      <w:rFonts w:ascii="Times New Roman" w:hAnsi="Times New Roman"/>
      <w:sz w:val="24"/>
    </w:rPr>
  </w:style>
  <w:style w:type="paragraph" w:styleId="BodyText">
    <w:name w:val="Body Text"/>
    <w:basedOn w:val="Normal"/>
    <w:link w:val="BodyTextChar"/>
    <w:rsid w:val="00017583"/>
    <w:pPr>
      <w:spacing w:after="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017583"/>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E97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286">
      <w:bodyDiv w:val="1"/>
      <w:marLeft w:val="0"/>
      <w:marRight w:val="0"/>
      <w:marTop w:val="0"/>
      <w:marBottom w:val="0"/>
      <w:divBdr>
        <w:top w:val="none" w:sz="0" w:space="0" w:color="auto"/>
        <w:left w:val="none" w:sz="0" w:space="0" w:color="auto"/>
        <w:bottom w:val="none" w:sz="0" w:space="0" w:color="auto"/>
        <w:right w:val="none" w:sz="0" w:space="0" w:color="auto"/>
      </w:divBdr>
    </w:div>
    <w:div w:id="331034743">
      <w:bodyDiv w:val="1"/>
      <w:marLeft w:val="0"/>
      <w:marRight w:val="0"/>
      <w:marTop w:val="0"/>
      <w:marBottom w:val="0"/>
      <w:divBdr>
        <w:top w:val="none" w:sz="0" w:space="0" w:color="auto"/>
        <w:left w:val="none" w:sz="0" w:space="0" w:color="auto"/>
        <w:bottom w:val="none" w:sz="0" w:space="0" w:color="auto"/>
        <w:right w:val="none" w:sz="0" w:space="0" w:color="auto"/>
      </w:divBdr>
    </w:div>
    <w:div w:id="371686184">
      <w:bodyDiv w:val="1"/>
      <w:marLeft w:val="0"/>
      <w:marRight w:val="0"/>
      <w:marTop w:val="0"/>
      <w:marBottom w:val="0"/>
      <w:divBdr>
        <w:top w:val="none" w:sz="0" w:space="0" w:color="auto"/>
        <w:left w:val="none" w:sz="0" w:space="0" w:color="auto"/>
        <w:bottom w:val="none" w:sz="0" w:space="0" w:color="auto"/>
        <w:right w:val="none" w:sz="0" w:space="0" w:color="auto"/>
      </w:divBdr>
    </w:div>
    <w:div w:id="388574116">
      <w:bodyDiv w:val="1"/>
      <w:marLeft w:val="0"/>
      <w:marRight w:val="0"/>
      <w:marTop w:val="0"/>
      <w:marBottom w:val="0"/>
      <w:divBdr>
        <w:top w:val="none" w:sz="0" w:space="0" w:color="auto"/>
        <w:left w:val="none" w:sz="0" w:space="0" w:color="auto"/>
        <w:bottom w:val="none" w:sz="0" w:space="0" w:color="auto"/>
        <w:right w:val="none" w:sz="0" w:space="0" w:color="auto"/>
      </w:divBdr>
    </w:div>
    <w:div w:id="1177840896">
      <w:bodyDiv w:val="1"/>
      <w:marLeft w:val="0"/>
      <w:marRight w:val="0"/>
      <w:marTop w:val="0"/>
      <w:marBottom w:val="0"/>
      <w:divBdr>
        <w:top w:val="none" w:sz="0" w:space="0" w:color="auto"/>
        <w:left w:val="none" w:sz="0" w:space="0" w:color="auto"/>
        <w:bottom w:val="none" w:sz="0" w:space="0" w:color="auto"/>
        <w:right w:val="none" w:sz="0" w:space="0" w:color="auto"/>
      </w:divBdr>
    </w:div>
    <w:div w:id="1292982009">
      <w:bodyDiv w:val="1"/>
      <w:marLeft w:val="0"/>
      <w:marRight w:val="0"/>
      <w:marTop w:val="0"/>
      <w:marBottom w:val="0"/>
      <w:divBdr>
        <w:top w:val="none" w:sz="0" w:space="0" w:color="auto"/>
        <w:left w:val="none" w:sz="0" w:space="0" w:color="auto"/>
        <w:bottom w:val="none" w:sz="0" w:space="0" w:color="auto"/>
        <w:right w:val="none" w:sz="0" w:space="0" w:color="auto"/>
      </w:divBdr>
    </w:div>
    <w:div w:id="1349864783">
      <w:bodyDiv w:val="1"/>
      <w:marLeft w:val="0"/>
      <w:marRight w:val="0"/>
      <w:marTop w:val="0"/>
      <w:marBottom w:val="0"/>
      <w:divBdr>
        <w:top w:val="none" w:sz="0" w:space="0" w:color="auto"/>
        <w:left w:val="none" w:sz="0" w:space="0" w:color="auto"/>
        <w:bottom w:val="none" w:sz="0" w:space="0" w:color="auto"/>
        <w:right w:val="none" w:sz="0" w:space="0" w:color="auto"/>
      </w:divBdr>
    </w:div>
    <w:div w:id="1354649049">
      <w:bodyDiv w:val="1"/>
      <w:marLeft w:val="0"/>
      <w:marRight w:val="0"/>
      <w:marTop w:val="0"/>
      <w:marBottom w:val="0"/>
      <w:divBdr>
        <w:top w:val="none" w:sz="0" w:space="0" w:color="auto"/>
        <w:left w:val="none" w:sz="0" w:space="0" w:color="auto"/>
        <w:bottom w:val="none" w:sz="0" w:space="0" w:color="auto"/>
        <w:right w:val="none" w:sz="0" w:space="0" w:color="auto"/>
      </w:divBdr>
    </w:div>
    <w:div w:id="1476872565">
      <w:bodyDiv w:val="1"/>
      <w:marLeft w:val="0"/>
      <w:marRight w:val="0"/>
      <w:marTop w:val="0"/>
      <w:marBottom w:val="0"/>
      <w:divBdr>
        <w:top w:val="none" w:sz="0" w:space="0" w:color="auto"/>
        <w:left w:val="none" w:sz="0" w:space="0" w:color="auto"/>
        <w:bottom w:val="none" w:sz="0" w:space="0" w:color="auto"/>
        <w:right w:val="none" w:sz="0" w:space="0" w:color="auto"/>
      </w:divBdr>
    </w:div>
    <w:div w:id="1478885946">
      <w:bodyDiv w:val="1"/>
      <w:marLeft w:val="0"/>
      <w:marRight w:val="0"/>
      <w:marTop w:val="0"/>
      <w:marBottom w:val="0"/>
      <w:divBdr>
        <w:top w:val="none" w:sz="0" w:space="0" w:color="auto"/>
        <w:left w:val="none" w:sz="0" w:space="0" w:color="auto"/>
        <w:bottom w:val="none" w:sz="0" w:space="0" w:color="auto"/>
        <w:right w:val="none" w:sz="0" w:space="0" w:color="auto"/>
      </w:divBdr>
    </w:div>
    <w:div w:id="1580476662">
      <w:bodyDiv w:val="1"/>
      <w:marLeft w:val="0"/>
      <w:marRight w:val="0"/>
      <w:marTop w:val="0"/>
      <w:marBottom w:val="0"/>
      <w:divBdr>
        <w:top w:val="none" w:sz="0" w:space="0" w:color="auto"/>
        <w:left w:val="none" w:sz="0" w:space="0" w:color="auto"/>
        <w:bottom w:val="none" w:sz="0" w:space="0" w:color="auto"/>
        <w:right w:val="none" w:sz="0" w:space="0" w:color="auto"/>
      </w:divBdr>
    </w:div>
    <w:div w:id="1632400276">
      <w:bodyDiv w:val="1"/>
      <w:marLeft w:val="0"/>
      <w:marRight w:val="0"/>
      <w:marTop w:val="0"/>
      <w:marBottom w:val="0"/>
      <w:divBdr>
        <w:top w:val="none" w:sz="0" w:space="0" w:color="auto"/>
        <w:left w:val="none" w:sz="0" w:space="0" w:color="auto"/>
        <w:bottom w:val="none" w:sz="0" w:space="0" w:color="auto"/>
        <w:right w:val="none" w:sz="0" w:space="0" w:color="auto"/>
      </w:divBdr>
    </w:div>
    <w:div w:id="1667633991">
      <w:bodyDiv w:val="1"/>
      <w:marLeft w:val="0"/>
      <w:marRight w:val="0"/>
      <w:marTop w:val="0"/>
      <w:marBottom w:val="0"/>
      <w:divBdr>
        <w:top w:val="none" w:sz="0" w:space="0" w:color="auto"/>
        <w:left w:val="none" w:sz="0" w:space="0" w:color="auto"/>
        <w:bottom w:val="none" w:sz="0" w:space="0" w:color="auto"/>
        <w:right w:val="none" w:sz="0" w:space="0" w:color="auto"/>
      </w:divBdr>
    </w:div>
    <w:div w:id="1864391593">
      <w:bodyDiv w:val="1"/>
      <w:marLeft w:val="0"/>
      <w:marRight w:val="0"/>
      <w:marTop w:val="0"/>
      <w:marBottom w:val="0"/>
      <w:divBdr>
        <w:top w:val="none" w:sz="0" w:space="0" w:color="auto"/>
        <w:left w:val="none" w:sz="0" w:space="0" w:color="auto"/>
        <w:bottom w:val="none" w:sz="0" w:space="0" w:color="auto"/>
        <w:right w:val="none" w:sz="0" w:space="0" w:color="auto"/>
      </w:divBdr>
    </w:div>
    <w:div w:id="1865944784">
      <w:bodyDiv w:val="1"/>
      <w:marLeft w:val="0"/>
      <w:marRight w:val="0"/>
      <w:marTop w:val="0"/>
      <w:marBottom w:val="0"/>
      <w:divBdr>
        <w:top w:val="none" w:sz="0" w:space="0" w:color="auto"/>
        <w:left w:val="none" w:sz="0" w:space="0" w:color="auto"/>
        <w:bottom w:val="none" w:sz="0" w:space="0" w:color="auto"/>
        <w:right w:val="none" w:sz="0" w:space="0" w:color="auto"/>
      </w:divBdr>
    </w:div>
    <w:div w:id="1884561355">
      <w:bodyDiv w:val="1"/>
      <w:marLeft w:val="0"/>
      <w:marRight w:val="0"/>
      <w:marTop w:val="0"/>
      <w:marBottom w:val="0"/>
      <w:divBdr>
        <w:top w:val="none" w:sz="0" w:space="0" w:color="auto"/>
        <w:left w:val="none" w:sz="0" w:space="0" w:color="auto"/>
        <w:bottom w:val="none" w:sz="0" w:space="0" w:color="auto"/>
        <w:right w:val="none" w:sz="0" w:space="0" w:color="auto"/>
      </w:divBdr>
    </w:div>
    <w:div w:id="1929845879">
      <w:bodyDiv w:val="1"/>
      <w:marLeft w:val="0"/>
      <w:marRight w:val="0"/>
      <w:marTop w:val="0"/>
      <w:marBottom w:val="0"/>
      <w:divBdr>
        <w:top w:val="none" w:sz="0" w:space="0" w:color="auto"/>
        <w:left w:val="none" w:sz="0" w:space="0" w:color="auto"/>
        <w:bottom w:val="none" w:sz="0" w:space="0" w:color="auto"/>
        <w:right w:val="none" w:sz="0" w:space="0" w:color="auto"/>
      </w:divBdr>
    </w:div>
    <w:div w:id="1965498569">
      <w:bodyDiv w:val="1"/>
      <w:marLeft w:val="0"/>
      <w:marRight w:val="0"/>
      <w:marTop w:val="0"/>
      <w:marBottom w:val="0"/>
      <w:divBdr>
        <w:top w:val="none" w:sz="0" w:space="0" w:color="auto"/>
        <w:left w:val="none" w:sz="0" w:space="0" w:color="auto"/>
        <w:bottom w:val="none" w:sz="0" w:space="0" w:color="auto"/>
        <w:right w:val="none" w:sz="0" w:space="0" w:color="auto"/>
      </w:divBdr>
    </w:div>
    <w:div w:id="1985311439">
      <w:bodyDiv w:val="1"/>
      <w:marLeft w:val="0"/>
      <w:marRight w:val="0"/>
      <w:marTop w:val="0"/>
      <w:marBottom w:val="0"/>
      <w:divBdr>
        <w:top w:val="none" w:sz="0" w:space="0" w:color="auto"/>
        <w:left w:val="none" w:sz="0" w:space="0" w:color="auto"/>
        <w:bottom w:val="none" w:sz="0" w:space="0" w:color="auto"/>
        <w:right w:val="none" w:sz="0" w:space="0" w:color="auto"/>
      </w:divBdr>
    </w:div>
    <w:div w:id="2000225547">
      <w:bodyDiv w:val="1"/>
      <w:marLeft w:val="0"/>
      <w:marRight w:val="0"/>
      <w:marTop w:val="0"/>
      <w:marBottom w:val="0"/>
      <w:divBdr>
        <w:top w:val="none" w:sz="0" w:space="0" w:color="auto"/>
        <w:left w:val="none" w:sz="0" w:space="0" w:color="auto"/>
        <w:bottom w:val="none" w:sz="0" w:space="0" w:color="auto"/>
        <w:right w:val="none" w:sz="0" w:space="0" w:color="auto"/>
      </w:divBdr>
    </w:div>
    <w:div w:id="21019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66A4-87BA-428F-AA4E-ED0AD59E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Pages>
  <Words>2522</Words>
  <Characters>14380</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Brozić Puček</dc:creator>
  <cp:keywords/>
  <dc:description/>
  <cp:lastModifiedBy>Nada Popović Jakus</cp:lastModifiedBy>
  <cp:revision>59</cp:revision>
  <cp:lastPrinted>2024-03-27T16:00:00Z</cp:lastPrinted>
  <dcterms:created xsi:type="dcterms:W3CDTF">2024-03-25T13:40:00Z</dcterms:created>
  <dcterms:modified xsi:type="dcterms:W3CDTF">2024-03-28T11:28:00Z</dcterms:modified>
</cp:coreProperties>
</file>